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2D5AAC" w14:paraId="73B02B19" w14:textId="77777777" w:rsidTr="00DA7664">
        <w:trPr>
          <w:trHeight w:hRule="exact" w:val="851"/>
        </w:trPr>
        <w:tc>
          <w:tcPr>
            <w:tcW w:w="1280" w:type="dxa"/>
            <w:tcBorders>
              <w:bottom w:val="single" w:sz="4" w:space="0" w:color="auto"/>
            </w:tcBorders>
          </w:tcPr>
          <w:p w14:paraId="6DDF9386" w14:textId="77777777" w:rsidR="002D5AAC" w:rsidRDefault="002D5AAC" w:rsidP="001B4E3F">
            <w:bookmarkStart w:id="0" w:name="_GoBack"/>
            <w:bookmarkEnd w:id="0"/>
          </w:p>
        </w:tc>
        <w:tc>
          <w:tcPr>
            <w:tcW w:w="2273" w:type="dxa"/>
            <w:tcBorders>
              <w:bottom w:val="single" w:sz="4" w:space="0" w:color="auto"/>
            </w:tcBorders>
            <w:vAlign w:val="bottom"/>
          </w:tcPr>
          <w:p w14:paraId="352B6F85" w14:textId="77777777" w:rsidR="002D5AAC" w:rsidRPr="00BD33EE" w:rsidRDefault="00BD33EE" w:rsidP="001B4E3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5E621443" w14:textId="29995CD2" w:rsidR="002D5AAC" w:rsidRPr="005F55D0" w:rsidRDefault="00DA7664" w:rsidP="00B60BFA">
            <w:pPr>
              <w:jc w:val="right"/>
            </w:pPr>
            <w:r w:rsidRPr="005F55D0">
              <w:rPr>
                <w:sz w:val="40"/>
              </w:rPr>
              <w:t>CRC</w:t>
            </w:r>
            <w:r w:rsidRPr="005F55D0">
              <w:t>/C/</w:t>
            </w:r>
            <w:r w:rsidR="0016032A">
              <w:t>83</w:t>
            </w:r>
            <w:r w:rsidR="00F14995" w:rsidRPr="005F55D0">
              <w:t>/D/</w:t>
            </w:r>
            <w:r w:rsidR="0016032A">
              <w:t>30</w:t>
            </w:r>
            <w:r w:rsidRPr="005F55D0">
              <w:t>/2017</w:t>
            </w:r>
          </w:p>
        </w:tc>
      </w:tr>
      <w:tr w:rsidR="002D5AAC" w14:paraId="25A3EDF9" w14:textId="77777777" w:rsidTr="00DA7664">
        <w:trPr>
          <w:trHeight w:hRule="exact" w:val="2835"/>
        </w:trPr>
        <w:tc>
          <w:tcPr>
            <w:tcW w:w="1280" w:type="dxa"/>
            <w:tcBorders>
              <w:top w:val="single" w:sz="4" w:space="0" w:color="auto"/>
              <w:bottom w:val="single" w:sz="12" w:space="0" w:color="auto"/>
            </w:tcBorders>
          </w:tcPr>
          <w:p w14:paraId="48725957" w14:textId="77777777" w:rsidR="002D5AAC" w:rsidRDefault="00100922" w:rsidP="001B4E3F">
            <w:pPr>
              <w:spacing w:before="120"/>
              <w:jc w:val="center"/>
            </w:pPr>
            <w:r>
              <w:rPr>
                <w:noProof/>
                <w:lang w:eastAsia="zh-CN"/>
              </w:rPr>
              <w:drawing>
                <wp:inline distT="0" distB="0" distL="0" distR="0" wp14:anchorId="7D4F0CFB" wp14:editId="5CB1F856">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65DA30CD" w14:textId="77777777" w:rsidR="002D5AAC" w:rsidRPr="00FB2D3D" w:rsidRDefault="004D45DB" w:rsidP="001B4E3F">
            <w:pPr>
              <w:spacing w:before="120" w:line="440" w:lineRule="exact"/>
              <w:rPr>
                <w:b/>
                <w:sz w:val="40"/>
                <w:szCs w:val="40"/>
              </w:rPr>
            </w:pPr>
            <w:r w:rsidRPr="00FB2D3D">
              <w:rPr>
                <w:b/>
                <w:sz w:val="40"/>
                <w:szCs w:val="40"/>
              </w:rPr>
              <w:t>Convención sobre los</w:t>
            </w:r>
            <w:r w:rsidR="00FB2D3D">
              <w:rPr>
                <w:b/>
                <w:sz w:val="40"/>
                <w:szCs w:val="40"/>
              </w:rPr>
              <w:br/>
            </w:r>
            <w:r w:rsidRPr="00FB2D3D">
              <w:rPr>
                <w:b/>
                <w:sz w:val="40"/>
                <w:szCs w:val="40"/>
              </w:rPr>
              <w:t>Derechos</w:t>
            </w:r>
            <w:r w:rsidR="00FB2D3D">
              <w:rPr>
                <w:b/>
                <w:sz w:val="40"/>
                <w:szCs w:val="40"/>
              </w:rPr>
              <w:t xml:space="preserve"> </w:t>
            </w:r>
            <w:r w:rsidRPr="00FB2D3D">
              <w:rPr>
                <w:b/>
                <w:sz w:val="40"/>
                <w:szCs w:val="40"/>
              </w:rPr>
              <w:t>del Niño</w:t>
            </w:r>
          </w:p>
        </w:tc>
        <w:tc>
          <w:tcPr>
            <w:tcW w:w="2819" w:type="dxa"/>
            <w:tcBorders>
              <w:top w:val="single" w:sz="4" w:space="0" w:color="auto"/>
              <w:bottom w:val="single" w:sz="12" w:space="0" w:color="auto"/>
            </w:tcBorders>
          </w:tcPr>
          <w:p w14:paraId="7E8F0C46" w14:textId="1F02B31D" w:rsidR="002D5AAC" w:rsidRPr="005F55D0" w:rsidRDefault="00600827" w:rsidP="00DA7664">
            <w:pPr>
              <w:spacing w:before="240" w:line="240" w:lineRule="exact"/>
            </w:pPr>
            <w:r w:rsidRPr="005F55D0">
              <w:t xml:space="preserve">Distr. </w:t>
            </w:r>
            <w:r w:rsidR="00B60BFA">
              <w:t xml:space="preserve">general </w:t>
            </w:r>
          </w:p>
          <w:p w14:paraId="50D6D789" w14:textId="751CAAB4" w:rsidR="00DA7664" w:rsidRPr="005F55D0" w:rsidRDefault="00616A53" w:rsidP="00DA7664">
            <w:pPr>
              <w:spacing w:line="240" w:lineRule="exact"/>
            </w:pPr>
            <w:r>
              <w:t>1</w:t>
            </w:r>
            <w:r w:rsidR="000215B4">
              <w:t>2</w:t>
            </w:r>
            <w:r w:rsidR="00D51507" w:rsidRPr="005F55D0">
              <w:t xml:space="preserve"> </w:t>
            </w:r>
            <w:r w:rsidR="00DA7664" w:rsidRPr="005F55D0">
              <w:t xml:space="preserve">de </w:t>
            </w:r>
            <w:r w:rsidR="002462AB">
              <w:t xml:space="preserve">marzo </w:t>
            </w:r>
            <w:r w:rsidR="00DA7664" w:rsidRPr="005F55D0">
              <w:t xml:space="preserve">de </w:t>
            </w:r>
            <w:r w:rsidR="00D51507" w:rsidRPr="005F55D0">
              <w:t>20</w:t>
            </w:r>
            <w:r w:rsidR="00D51507">
              <w:t>20</w:t>
            </w:r>
          </w:p>
          <w:p w14:paraId="5D177138" w14:textId="77777777" w:rsidR="007106D3" w:rsidRDefault="007106D3" w:rsidP="00DA7664">
            <w:pPr>
              <w:spacing w:line="240" w:lineRule="exact"/>
            </w:pPr>
          </w:p>
          <w:p w14:paraId="675F5200" w14:textId="77777777" w:rsidR="00DA7664" w:rsidRPr="005F55D0" w:rsidRDefault="00DA7664" w:rsidP="00DA7664">
            <w:pPr>
              <w:spacing w:line="240" w:lineRule="exact"/>
            </w:pPr>
            <w:r w:rsidRPr="005F55D0">
              <w:t>Original: español</w:t>
            </w:r>
          </w:p>
          <w:p w14:paraId="1040EBD4" w14:textId="1396B796" w:rsidR="00DA7664" w:rsidRPr="005F55D0" w:rsidRDefault="00DA7664" w:rsidP="00DA7664">
            <w:pPr>
              <w:spacing w:line="240" w:lineRule="exact"/>
            </w:pPr>
          </w:p>
        </w:tc>
      </w:tr>
    </w:tbl>
    <w:p w14:paraId="1CED27A6" w14:textId="77777777" w:rsidR="00DA7664" w:rsidRPr="005D5092" w:rsidRDefault="00DA7664" w:rsidP="00DA7664">
      <w:pPr>
        <w:spacing w:before="120" w:line="240" w:lineRule="auto"/>
        <w:rPr>
          <w:b/>
          <w:sz w:val="24"/>
          <w:szCs w:val="24"/>
          <w:lang w:val="es-ES_tradnl"/>
        </w:rPr>
      </w:pPr>
      <w:r w:rsidRPr="005D5092">
        <w:rPr>
          <w:b/>
          <w:sz w:val="24"/>
          <w:szCs w:val="24"/>
          <w:lang w:val="es-ES_tradnl"/>
        </w:rPr>
        <w:t>Comité de los Derechos del Niño</w:t>
      </w:r>
    </w:p>
    <w:p w14:paraId="10B381C3" w14:textId="795FEA6A" w:rsidR="005726E2" w:rsidRPr="00C52669" w:rsidRDefault="005726E2" w:rsidP="005726E2">
      <w:pPr>
        <w:pStyle w:val="HChG"/>
        <w:rPr>
          <w:bCs/>
        </w:rPr>
      </w:pPr>
      <w:r>
        <w:rPr>
          <w:lang w:val="es-ES_tradnl"/>
        </w:rPr>
        <w:tab/>
      </w:r>
      <w:r>
        <w:rPr>
          <w:lang w:val="es-ES_tradnl"/>
        </w:rPr>
        <w:tab/>
      </w:r>
      <w:r w:rsidR="00053C1B" w:rsidRPr="00053C1B">
        <w:rPr>
          <w:lang w:val="es-ES_tradnl"/>
        </w:rPr>
        <w:t xml:space="preserve">Dictamen aprobado por el Comité en relación con el Protocolo Facultativo de la Convención sobre los Derechos del Niño relativo a un procedimiento de comunicaciones respecto de la comunicación núm. </w:t>
      </w:r>
      <w:r w:rsidR="00053C1B">
        <w:rPr>
          <w:lang w:val="es-ES_tradnl"/>
        </w:rPr>
        <w:t>30</w:t>
      </w:r>
      <w:r w:rsidR="00053C1B" w:rsidRPr="00053C1B">
        <w:rPr>
          <w:lang w:val="es-ES_tradnl"/>
        </w:rPr>
        <w:t>/2017</w:t>
      </w:r>
      <w:r w:rsidR="00E64199" w:rsidRPr="00AC0BD3">
        <w:rPr>
          <w:rStyle w:val="FootnoteReference"/>
          <w:b w:val="0"/>
          <w:sz w:val="20"/>
          <w:vertAlign w:val="baseline"/>
          <w:lang w:val="es-ES_tradnl"/>
        </w:rPr>
        <w:footnoteReference w:customMarkFollows="1" w:id="1"/>
        <w:t>*</w:t>
      </w:r>
      <w:r w:rsidR="00053C1B" w:rsidRPr="00AC0BD3">
        <w:rPr>
          <w:b w:val="0"/>
          <w:sz w:val="20"/>
          <w:lang w:val="es-ES_tradnl"/>
        </w:rPr>
        <w:t xml:space="preserve"> </w:t>
      </w:r>
      <w:r w:rsidR="00E64199" w:rsidRPr="00AC0BD3">
        <w:rPr>
          <w:rStyle w:val="FootnoteReference"/>
          <w:b w:val="0"/>
          <w:sz w:val="20"/>
          <w:vertAlign w:val="baseline"/>
          <w:lang w:val="es-ES_tradnl"/>
        </w:rPr>
        <w:footnoteReference w:customMarkFollows="1" w:id="2"/>
        <w:t>**</w:t>
      </w:r>
    </w:p>
    <w:p w14:paraId="14DF3639" w14:textId="46B78869" w:rsidR="009A7BD1" w:rsidRPr="00C63273" w:rsidRDefault="009A7BD1" w:rsidP="009A7BD1">
      <w:pPr>
        <w:pStyle w:val="SingleTxtG"/>
        <w:ind w:left="4536" w:hanging="3402"/>
        <w:jc w:val="left"/>
        <w:rPr>
          <w:i/>
          <w:iCs/>
          <w:lang w:val="es-ES_tradnl"/>
        </w:rPr>
      </w:pPr>
      <w:r w:rsidRPr="0047682C">
        <w:rPr>
          <w:i/>
          <w:iCs/>
          <w:lang w:val="es-ES_tradnl"/>
        </w:rPr>
        <w:t>Presentada por:</w:t>
      </w:r>
      <w:r w:rsidRPr="0047682C">
        <w:rPr>
          <w:i/>
          <w:iCs/>
          <w:lang w:val="es-ES_tradnl"/>
        </w:rPr>
        <w:tab/>
      </w:r>
      <w:r w:rsidR="00D94567">
        <w:rPr>
          <w:iCs/>
          <w:lang w:val="es-ES_tradnl"/>
        </w:rPr>
        <w:t>N</w:t>
      </w:r>
      <w:r w:rsidR="00E22529">
        <w:rPr>
          <w:iCs/>
          <w:lang w:val="es-ES_tradnl"/>
        </w:rPr>
        <w:t>.</w:t>
      </w:r>
      <w:r w:rsidR="00D94567">
        <w:rPr>
          <w:iCs/>
          <w:lang w:val="es-ES_tradnl"/>
        </w:rPr>
        <w:t>R</w:t>
      </w:r>
      <w:r w:rsidR="00E22529">
        <w:rPr>
          <w:iCs/>
          <w:lang w:val="es-ES_tradnl"/>
        </w:rPr>
        <w:t>.</w:t>
      </w:r>
      <w:r w:rsidR="00D03755">
        <w:rPr>
          <w:iCs/>
          <w:lang w:val="es-ES_tradnl"/>
        </w:rPr>
        <w:t xml:space="preserve"> </w:t>
      </w:r>
      <w:r w:rsidRPr="002E4BF9">
        <w:rPr>
          <w:iCs/>
          <w:lang w:val="es-ES_tradnl"/>
        </w:rPr>
        <w:t xml:space="preserve">(representado por </w:t>
      </w:r>
      <w:r w:rsidR="00D94567">
        <w:rPr>
          <w:iCs/>
          <w:lang w:val="es-ES_tradnl"/>
        </w:rPr>
        <w:t>el abogado Alberto Manuel Poletti Adorno</w:t>
      </w:r>
      <w:r w:rsidRPr="00C63273">
        <w:rPr>
          <w:iCs/>
          <w:lang w:val="es-ES_tradnl"/>
        </w:rPr>
        <w:t>)</w:t>
      </w:r>
    </w:p>
    <w:p w14:paraId="522FD331" w14:textId="0007BBCF" w:rsidR="00F14995" w:rsidRPr="00C63273" w:rsidRDefault="009A7BD1" w:rsidP="009A7BD1">
      <w:pPr>
        <w:pStyle w:val="SingleTxtG"/>
        <w:ind w:left="4536" w:hanging="3402"/>
        <w:jc w:val="left"/>
        <w:rPr>
          <w:lang w:val="es-ES_tradnl"/>
        </w:rPr>
      </w:pPr>
      <w:r w:rsidRPr="00C63273">
        <w:rPr>
          <w:i/>
          <w:iCs/>
          <w:lang w:val="es-ES_tradnl"/>
        </w:rPr>
        <w:t>Presunta víctima</w:t>
      </w:r>
      <w:r w:rsidRPr="00AC0BD3">
        <w:rPr>
          <w:i/>
          <w:lang w:val="es-ES_tradnl"/>
        </w:rPr>
        <w:t>:</w:t>
      </w:r>
      <w:r w:rsidRPr="00C63273">
        <w:rPr>
          <w:lang w:val="es-ES_tradnl"/>
        </w:rPr>
        <w:tab/>
      </w:r>
      <w:r w:rsidR="00D03755" w:rsidRPr="00D03755">
        <w:rPr>
          <w:lang w:val="es-ES_tradnl"/>
        </w:rPr>
        <w:t>C.R.</w:t>
      </w:r>
    </w:p>
    <w:p w14:paraId="0FC5D845" w14:textId="77777777" w:rsidR="009A7BD1" w:rsidRPr="00C63273" w:rsidRDefault="009A7BD1" w:rsidP="009A7BD1">
      <w:pPr>
        <w:pStyle w:val="SingleTxtG"/>
        <w:ind w:left="4536" w:hanging="3402"/>
        <w:jc w:val="left"/>
        <w:rPr>
          <w:lang w:val="es-ES_tradnl"/>
        </w:rPr>
      </w:pPr>
      <w:r w:rsidRPr="00C63273">
        <w:rPr>
          <w:i/>
          <w:lang w:val="es-ES_tradnl"/>
        </w:rPr>
        <w:t>Estado parte</w:t>
      </w:r>
      <w:r w:rsidRPr="00AC0BD3">
        <w:rPr>
          <w:i/>
          <w:iCs/>
          <w:lang w:val="es-ES_tradnl"/>
        </w:rPr>
        <w:t>:</w:t>
      </w:r>
      <w:r w:rsidRPr="00C63273">
        <w:rPr>
          <w:lang w:val="es-ES_tradnl"/>
        </w:rPr>
        <w:tab/>
      </w:r>
      <w:r w:rsidR="00D03755">
        <w:rPr>
          <w:lang w:val="es-ES_tradnl"/>
        </w:rPr>
        <w:t>Paraguay</w:t>
      </w:r>
    </w:p>
    <w:p w14:paraId="34067DE6" w14:textId="77777777" w:rsidR="009A7BD1" w:rsidRPr="00C63273" w:rsidRDefault="009A7BD1" w:rsidP="009A7BD1">
      <w:pPr>
        <w:pStyle w:val="SingleTxtG"/>
        <w:ind w:left="4536" w:hanging="3402"/>
        <w:jc w:val="left"/>
        <w:rPr>
          <w:lang w:val="es-ES_tradnl"/>
        </w:rPr>
      </w:pPr>
      <w:r w:rsidRPr="00C63273">
        <w:rPr>
          <w:i/>
          <w:iCs/>
          <w:lang w:val="es-ES_tradnl"/>
        </w:rPr>
        <w:t>Fecha de la comunicación</w:t>
      </w:r>
      <w:r w:rsidRPr="00AC0BD3">
        <w:rPr>
          <w:i/>
          <w:lang w:val="es-ES_tradnl"/>
        </w:rPr>
        <w:t>:</w:t>
      </w:r>
      <w:r w:rsidRPr="00C63273">
        <w:rPr>
          <w:lang w:val="es-ES_tradnl"/>
        </w:rPr>
        <w:tab/>
      </w:r>
      <w:r w:rsidR="00F14995" w:rsidRPr="00C63273">
        <w:rPr>
          <w:lang w:val="es-ES_tradnl"/>
        </w:rPr>
        <w:t>1</w:t>
      </w:r>
      <w:r w:rsidR="00A90010">
        <w:rPr>
          <w:lang w:val="es-ES_tradnl"/>
        </w:rPr>
        <w:t>0</w:t>
      </w:r>
      <w:r w:rsidRPr="00C63273">
        <w:rPr>
          <w:lang w:val="es-ES_tradnl"/>
        </w:rPr>
        <w:t xml:space="preserve"> de mayo de 2017</w:t>
      </w:r>
      <w:r w:rsidR="00F14995" w:rsidRPr="00C63273">
        <w:rPr>
          <w:lang w:val="es-ES_tradnl"/>
        </w:rPr>
        <w:t xml:space="preserve"> </w:t>
      </w:r>
    </w:p>
    <w:p w14:paraId="7818A82F" w14:textId="554DAC37" w:rsidR="009A7BD1" w:rsidRPr="007D0478" w:rsidRDefault="009A7BD1" w:rsidP="009A7BD1">
      <w:pPr>
        <w:pStyle w:val="SingleTxtG"/>
        <w:ind w:left="4536" w:hanging="3402"/>
        <w:jc w:val="left"/>
        <w:rPr>
          <w:lang w:val="es-ES_tradnl"/>
        </w:rPr>
      </w:pPr>
      <w:r w:rsidRPr="007D0478">
        <w:rPr>
          <w:i/>
          <w:iCs/>
          <w:lang w:val="es-ES_tradnl"/>
        </w:rPr>
        <w:t xml:space="preserve">Fecha de adopción del </w:t>
      </w:r>
      <w:r w:rsidR="00D337C1">
        <w:rPr>
          <w:i/>
          <w:iCs/>
          <w:lang w:val="es-ES_tradnl"/>
        </w:rPr>
        <w:t>dictamen</w:t>
      </w:r>
      <w:r w:rsidR="00310AD2">
        <w:rPr>
          <w:i/>
          <w:iCs/>
          <w:lang w:val="es-ES_tradnl"/>
        </w:rPr>
        <w:t>:</w:t>
      </w:r>
      <w:r w:rsidRPr="007D0478">
        <w:rPr>
          <w:i/>
          <w:iCs/>
          <w:lang w:val="es-ES_tradnl"/>
        </w:rPr>
        <w:tab/>
      </w:r>
      <w:r w:rsidR="007D4CB1">
        <w:rPr>
          <w:lang w:val="es-ES_tradnl"/>
        </w:rPr>
        <w:t>3</w:t>
      </w:r>
      <w:r w:rsidR="007D4CB1" w:rsidRPr="007D0478">
        <w:rPr>
          <w:lang w:val="es-ES_tradnl"/>
        </w:rPr>
        <w:t xml:space="preserve"> </w:t>
      </w:r>
      <w:r w:rsidRPr="007D0478">
        <w:rPr>
          <w:lang w:val="es-ES_tradnl"/>
        </w:rPr>
        <w:t xml:space="preserve">de </w:t>
      </w:r>
      <w:r w:rsidR="007D4CB1">
        <w:rPr>
          <w:lang w:val="es-ES_tradnl"/>
        </w:rPr>
        <w:t xml:space="preserve">febrero </w:t>
      </w:r>
      <w:r w:rsidR="00A90010">
        <w:rPr>
          <w:lang w:val="es-ES_tradnl"/>
        </w:rPr>
        <w:t>de 2020</w:t>
      </w:r>
    </w:p>
    <w:p w14:paraId="64F905CA" w14:textId="3479EB46" w:rsidR="009A7BD1" w:rsidRPr="007D0478" w:rsidRDefault="009A7BD1" w:rsidP="009A7BD1">
      <w:pPr>
        <w:pStyle w:val="SingleTxtG"/>
        <w:ind w:left="4536" w:hanging="3402"/>
        <w:jc w:val="left"/>
        <w:rPr>
          <w:lang w:val="es-ES_tradnl"/>
        </w:rPr>
      </w:pPr>
      <w:r w:rsidRPr="007D0478">
        <w:rPr>
          <w:i/>
          <w:lang w:val="es-ES_tradnl"/>
        </w:rPr>
        <w:t>Asunto</w:t>
      </w:r>
      <w:r w:rsidR="00310AD2">
        <w:rPr>
          <w:i/>
          <w:lang w:val="es-ES_tradnl"/>
        </w:rPr>
        <w:t>:</w:t>
      </w:r>
      <w:r w:rsidRPr="007D0478">
        <w:rPr>
          <w:lang w:val="es-ES_tradnl"/>
        </w:rPr>
        <w:tab/>
      </w:r>
      <w:r w:rsidR="00ED516D">
        <w:rPr>
          <w:lang w:val="es-ES_tradnl"/>
        </w:rPr>
        <w:t>D</w:t>
      </w:r>
      <w:r w:rsidR="00ED516D" w:rsidRPr="00ED516D">
        <w:rPr>
          <w:lang w:val="es-ES_tradnl"/>
        </w:rPr>
        <w:t xml:space="preserve">erecho a mantener relaciones personales y contacto directo con el padre </w:t>
      </w:r>
    </w:p>
    <w:p w14:paraId="405FF3D2" w14:textId="1FD4A102" w:rsidR="009A7BD1" w:rsidRPr="007D0478" w:rsidRDefault="009A7BD1" w:rsidP="009A7BD1">
      <w:pPr>
        <w:pStyle w:val="SingleTxtG"/>
        <w:ind w:left="4536" w:hanging="3402"/>
        <w:jc w:val="left"/>
        <w:rPr>
          <w:lang w:val="es-ES_tradnl"/>
        </w:rPr>
      </w:pPr>
      <w:r w:rsidRPr="007D0478">
        <w:rPr>
          <w:i/>
          <w:lang w:val="es-ES_tradnl"/>
        </w:rPr>
        <w:t xml:space="preserve">Cuestiones de </w:t>
      </w:r>
      <w:r w:rsidR="00FE4421">
        <w:rPr>
          <w:i/>
          <w:lang w:val="es-ES_tradnl"/>
        </w:rPr>
        <w:t>p</w:t>
      </w:r>
      <w:r w:rsidRPr="007D0478">
        <w:rPr>
          <w:i/>
          <w:lang w:val="es-ES_tradnl"/>
        </w:rPr>
        <w:t>rocedimiento:</w:t>
      </w:r>
      <w:r w:rsidRPr="007D0478">
        <w:rPr>
          <w:lang w:val="es-ES_tradnl"/>
        </w:rPr>
        <w:tab/>
      </w:r>
      <w:r w:rsidR="00A5414B" w:rsidRPr="004821A6">
        <w:rPr>
          <w:lang w:val="es-ES_tradnl"/>
        </w:rPr>
        <w:t xml:space="preserve">Inadmisible </w:t>
      </w:r>
      <w:r w:rsidR="00A5414B" w:rsidRPr="00AC0BD3">
        <w:rPr>
          <w:i/>
          <w:iCs/>
          <w:lang w:val="es-ES_tradnl"/>
        </w:rPr>
        <w:t>ratione temporis</w:t>
      </w:r>
      <w:r w:rsidR="00A5414B" w:rsidRPr="004821A6">
        <w:rPr>
          <w:lang w:val="es-ES_tradnl"/>
        </w:rPr>
        <w:t xml:space="preserve">; </w:t>
      </w:r>
      <w:r w:rsidRPr="004821A6">
        <w:rPr>
          <w:lang w:val="es-ES_tradnl"/>
        </w:rPr>
        <w:t>falta de agotamiento de recursos internos</w:t>
      </w:r>
      <w:r w:rsidR="006D6D4C">
        <w:rPr>
          <w:lang w:val="es-ES_tradnl"/>
        </w:rPr>
        <w:t xml:space="preserve">; falta de </w:t>
      </w:r>
      <w:r w:rsidR="00182598">
        <w:rPr>
          <w:lang w:val="es-ES_tradnl"/>
        </w:rPr>
        <w:t xml:space="preserve">fundamentación </w:t>
      </w:r>
    </w:p>
    <w:p w14:paraId="3C19862C" w14:textId="02C10608" w:rsidR="009A7BD1" w:rsidRPr="007D0478" w:rsidRDefault="009A7BD1" w:rsidP="009A7BD1">
      <w:pPr>
        <w:pStyle w:val="SingleTxtG"/>
        <w:ind w:left="4536" w:hanging="3402"/>
        <w:jc w:val="left"/>
        <w:rPr>
          <w:lang w:val="es-AR"/>
        </w:rPr>
      </w:pPr>
      <w:r w:rsidRPr="007D0478">
        <w:rPr>
          <w:i/>
          <w:lang w:val="es-ES_tradnl"/>
        </w:rPr>
        <w:t>Artículos de la Convención</w:t>
      </w:r>
      <w:r w:rsidRPr="00AC0BD3">
        <w:rPr>
          <w:i/>
          <w:lang w:val="es-ES_tradnl"/>
        </w:rPr>
        <w:t>:</w:t>
      </w:r>
      <w:r w:rsidRPr="007D0478">
        <w:rPr>
          <w:lang w:val="es-ES_tradnl"/>
        </w:rPr>
        <w:tab/>
      </w:r>
      <w:r w:rsidRPr="007D0478">
        <w:rPr>
          <w:color w:val="000000"/>
          <w:szCs w:val="24"/>
          <w:lang w:val="es-AR"/>
        </w:rPr>
        <w:t xml:space="preserve">3, </w:t>
      </w:r>
      <w:r w:rsidR="00B26104">
        <w:rPr>
          <w:color w:val="000000"/>
          <w:szCs w:val="24"/>
          <w:lang w:val="es-AR"/>
        </w:rPr>
        <w:t xml:space="preserve">4, 5, </w:t>
      </w:r>
      <w:r w:rsidR="001D6ACE">
        <w:rPr>
          <w:color w:val="000000"/>
          <w:szCs w:val="24"/>
          <w:lang w:val="es-AR"/>
        </w:rPr>
        <w:t>9</w:t>
      </w:r>
      <w:r w:rsidR="00C21B03">
        <w:rPr>
          <w:color w:val="000000"/>
          <w:szCs w:val="24"/>
          <w:lang w:val="es-AR"/>
        </w:rPr>
        <w:t>, párrafo</w:t>
      </w:r>
      <w:r w:rsidR="001D6ACE">
        <w:rPr>
          <w:color w:val="000000"/>
          <w:szCs w:val="24"/>
          <w:lang w:val="es-AR"/>
        </w:rPr>
        <w:t xml:space="preserve"> 3, 10</w:t>
      </w:r>
      <w:r w:rsidR="00C21B03">
        <w:rPr>
          <w:color w:val="000000"/>
          <w:szCs w:val="24"/>
          <w:lang w:val="es-AR"/>
        </w:rPr>
        <w:t xml:space="preserve">, párrafo </w:t>
      </w:r>
      <w:r w:rsidR="00B26104">
        <w:rPr>
          <w:color w:val="000000"/>
          <w:szCs w:val="24"/>
          <w:lang w:val="es-AR"/>
        </w:rPr>
        <w:t>2, 18</w:t>
      </w:r>
      <w:r w:rsidR="00C63273" w:rsidRPr="007D0478">
        <w:rPr>
          <w:color w:val="000000"/>
          <w:szCs w:val="24"/>
          <w:lang w:val="es-AR"/>
        </w:rPr>
        <w:t xml:space="preserve"> y </w:t>
      </w:r>
      <w:r w:rsidR="00B26104">
        <w:rPr>
          <w:color w:val="000000"/>
          <w:szCs w:val="24"/>
          <w:lang w:val="es-AR"/>
        </w:rPr>
        <w:t>19</w:t>
      </w:r>
    </w:p>
    <w:p w14:paraId="3A3D1961" w14:textId="0FF8B265" w:rsidR="00DA7664" w:rsidRDefault="009A7BD1" w:rsidP="009A7BD1">
      <w:pPr>
        <w:ind w:left="567" w:firstLine="567"/>
        <w:rPr>
          <w:iCs/>
          <w:lang w:val="es-ES_tradnl"/>
        </w:rPr>
      </w:pPr>
      <w:r w:rsidRPr="00A27A62">
        <w:rPr>
          <w:i/>
          <w:iCs/>
          <w:lang w:val="es-ES_tradnl"/>
        </w:rPr>
        <w:t>Artículo del Protocolo Facultativo</w:t>
      </w:r>
      <w:r w:rsidRPr="00AC0BD3">
        <w:rPr>
          <w:i/>
          <w:lang w:val="es-ES_tradnl"/>
        </w:rPr>
        <w:t>:</w:t>
      </w:r>
      <w:r w:rsidRPr="008A2BE1">
        <w:rPr>
          <w:i/>
          <w:iCs/>
          <w:lang w:val="es-ES_tradnl"/>
        </w:rPr>
        <w:tab/>
      </w:r>
      <w:r w:rsidRPr="002E6CE2">
        <w:rPr>
          <w:lang w:val="es-ES_tradnl"/>
        </w:rPr>
        <w:t>7</w:t>
      </w:r>
      <w:r w:rsidR="00C21B03">
        <w:rPr>
          <w:lang w:val="es-ES_tradnl"/>
        </w:rPr>
        <w:t>, apartados</w:t>
      </w:r>
      <w:r w:rsidR="00A5414B" w:rsidRPr="002E6CE2">
        <w:t xml:space="preserve"> </w:t>
      </w:r>
      <w:r w:rsidRPr="002E6CE2">
        <w:rPr>
          <w:iCs/>
          <w:lang w:val="es-ES_tradnl"/>
        </w:rPr>
        <w:t>e)</w:t>
      </w:r>
      <w:r w:rsidR="00BC36A6">
        <w:rPr>
          <w:iCs/>
          <w:lang w:val="es-ES_tradnl"/>
        </w:rPr>
        <w:t>,</w:t>
      </w:r>
      <w:r w:rsidRPr="002E6CE2">
        <w:rPr>
          <w:iCs/>
          <w:lang w:val="es-ES_tradnl"/>
        </w:rPr>
        <w:t xml:space="preserve"> f)</w:t>
      </w:r>
      <w:r w:rsidR="00BC36A6">
        <w:rPr>
          <w:iCs/>
          <w:lang w:val="es-ES_tradnl"/>
        </w:rPr>
        <w:t xml:space="preserve"> y</w:t>
      </w:r>
      <w:r w:rsidR="00A5414B" w:rsidRPr="002E6CE2">
        <w:rPr>
          <w:iCs/>
          <w:lang w:val="es-ES_tradnl"/>
        </w:rPr>
        <w:t xml:space="preserve"> g)</w:t>
      </w:r>
    </w:p>
    <w:p w14:paraId="55037E72" w14:textId="77777777" w:rsidR="00CE0E6E" w:rsidRDefault="00CE0E6E">
      <w:pPr>
        <w:spacing w:line="240" w:lineRule="auto"/>
      </w:pPr>
      <w:r>
        <w:br w:type="page"/>
      </w:r>
    </w:p>
    <w:p w14:paraId="3D81C149" w14:textId="63586C36" w:rsidR="00CE0E6E" w:rsidRDefault="00C5268D" w:rsidP="00475F3C">
      <w:pPr>
        <w:pStyle w:val="SingleTxtG"/>
        <w:rPr>
          <w:spacing w:val="-2"/>
          <w:lang w:val="es-ES_tradnl"/>
        </w:rPr>
      </w:pPr>
      <w:r>
        <w:rPr>
          <w:lang w:val="es-ES_tradnl"/>
        </w:rPr>
        <w:lastRenderedPageBreak/>
        <w:t>1.</w:t>
      </w:r>
      <w:r w:rsidR="00CE0E6E" w:rsidRPr="005D5092">
        <w:rPr>
          <w:lang w:val="es-ES_tradnl"/>
        </w:rPr>
        <w:tab/>
      </w:r>
      <w:r w:rsidR="0094180D">
        <w:rPr>
          <w:lang w:val="es-ES_tradnl"/>
        </w:rPr>
        <w:t>El autor</w:t>
      </w:r>
      <w:r w:rsidR="00254F5D">
        <w:rPr>
          <w:lang w:val="es-ES_tradnl"/>
        </w:rPr>
        <w:t xml:space="preserve"> de </w:t>
      </w:r>
      <w:r w:rsidR="000A0A77">
        <w:rPr>
          <w:lang w:val="es-ES_tradnl"/>
        </w:rPr>
        <w:t>la comunicación</w:t>
      </w:r>
      <w:r w:rsidR="0094180D">
        <w:rPr>
          <w:lang w:val="es-ES_tradnl"/>
        </w:rPr>
        <w:t xml:space="preserve"> es</w:t>
      </w:r>
      <w:r w:rsidR="00254F5D">
        <w:rPr>
          <w:lang w:val="es-ES_tradnl"/>
        </w:rPr>
        <w:t xml:space="preserve"> </w:t>
      </w:r>
      <w:r w:rsidR="00DC2A39">
        <w:rPr>
          <w:lang w:val="es-ES_tradnl"/>
        </w:rPr>
        <w:t>N</w:t>
      </w:r>
      <w:r w:rsidR="00774720">
        <w:rPr>
          <w:lang w:val="es-ES_tradnl"/>
        </w:rPr>
        <w:t>.R.</w:t>
      </w:r>
      <w:r w:rsidR="009C20F3">
        <w:rPr>
          <w:lang w:val="es-ES_tradnl"/>
        </w:rPr>
        <w:t>,</w:t>
      </w:r>
      <w:r w:rsidR="00774720">
        <w:rPr>
          <w:lang w:val="es-ES_tradnl"/>
        </w:rPr>
        <w:t xml:space="preserve"> </w:t>
      </w:r>
      <w:r w:rsidR="00462E0C">
        <w:rPr>
          <w:lang w:val="es-ES_tradnl"/>
        </w:rPr>
        <w:t>a</w:t>
      </w:r>
      <w:r w:rsidR="00CB67AE">
        <w:rPr>
          <w:lang w:val="es-ES_tradnl"/>
        </w:rPr>
        <w:t>rgentin</w:t>
      </w:r>
      <w:r w:rsidR="00462E0C">
        <w:rPr>
          <w:lang w:val="es-ES_tradnl"/>
        </w:rPr>
        <w:t>o</w:t>
      </w:r>
      <w:r w:rsidR="0070718A">
        <w:rPr>
          <w:lang w:val="es-ES_tradnl"/>
        </w:rPr>
        <w:t>,</w:t>
      </w:r>
      <w:r w:rsidR="00CB67AE">
        <w:rPr>
          <w:lang w:val="es-ES_tradnl"/>
        </w:rPr>
        <w:t xml:space="preserve"> </w:t>
      </w:r>
      <w:r w:rsidR="00254F5D">
        <w:rPr>
          <w:lang w:val="es-ES_tradnl"/>
        </w:rPr>
        <w:t xml:space="preserve">nacido el </w:t>
      </w:r>
      <w:r w:rsidR="00CB67AE">
        <w:rPr>
          <w:lang w:val="es-ES_tradnl"/>
        </w:rPr>
        <w:t>20 de enero de 1976</w:t>
      </w:r>
      <w:r w:rsidR="00475F3C">
        <w:rPr>
          <w:lang w:val="es-ES_tradnl"/>
        </w:rPr>
        <w:t>.</w:t>
      </w:r>
      <w:r w:rsidR="00D818A4">
        <w:rPr>
          <w:lang w:val="es-ES_tradnl"/>
        </w:rPr>
        <w:t xml:space="preserve"> </w:t>
      </w:r>
      <w:r w:rsidR="0070718A" w:rsidRPr="0070718A">
        <w:rPr>
          <w:lang w:val="es-ES_tradnl"/>
        </w:rPr>
        <w:t xml:space="preserve">El autor presenta </w:t>
      </w:r>
      <w:r w:rsidR="000D460D">
        <w:rPr>
          <w:lang w:val="es-ES_tradnl"/>
        </w:rPr>
        <w:t>l</w:t>
      </w:r>
      <w:r w:rsidR="0070718A" w:rsidRPr="0070718A">
        <w:rPr>
          <w:lang w:val="es-ES_tradnl"/>
        </w:rPr>
        <w:t xml:space="preserve">a comunicación en nombre de su hija, </w:t>
      </w:r>
      <w:r w:rsidR="00CB67AE">
        <w:rPr>
          <w:lang w:val="es-ES_tradnl"/>
        </w:rPr>
        <w:t>C.R</w:t>
      </w:r>
      <w:r w:rsidR="00462E0C">
        <w:rPr>
          <w:lang w:val="es-ES_tradnl"/>
        </w:rPr>
        <w:t>.</w:t>
      </w:r>
      <w:r w:rsidR="00806238">
        <w:rPr>
          <w:lang w:val="es-ES_tradnl"/>
        </w:rPr>
        <w:t>,</w:t>
      </w:r>
      <w:r w:rsidR="007C2FD6">
        <w:rPr>
          <w:lang w:val="es-ES_tradnl"/>
        </w:rPr>
        <w:t xml:space="preserve"> nacida el 16 de junio de 2009</w:t>
      </w:r>
      <w:r w:rsidR="00806238">
        <w:rPr>
          <w:lang w:val="es-ES_tradnl"/>
        </w:rPr>
        <w:t>,</w:t>
      </w:r>
      <w:r w:rsidR="0070718A">
        <w:rPr>
          <w:lang w:val="es-ES_tradnl"/>
        </w:rPr>
        <w:t xml:space="preserve"> </w:t>
      </w:r>
      <w:r w:rsidR="002C7EFE">
        <w:rPr>
          <w:lang w:val="es-ES_tradnl"/>
        </w:rPr>
        <w:t xml:space="preserve">también </w:t>
      </w:r>
      <w:r w:rsidR="0070718A">
        <w:rPr>
          <w:lang w:val="es-ES_tradnl"/>
        </w:rPr>
        <w:t>de nacionalidad argentina. Alega que su hija</w:t>
      </w:r>
      <w:r w:rsidR="007C2FD6">
        <w:rPr>
          <w:lang w:val="es-ES_tradnl"/>
        </w:rPr>
        <w:t xml:space="preserve"> </w:t>
      </w:r>
      <w:r w:rsidR="00CB67AE">
        <w:rPr>
          <w:lang w:val="es-ES_tradnl"/>
        </w:rPr>
        <w:t>es</w:t>
      </w:r>
      <w:r w:rsidR="00475F3C">
        <w:rPr>
          <w:lang w:val="es-ES_tradnl"/>
        </w:rPr>
        <w:t xml:space="preserve"> víctima de violaciones de los artículos </w:t>
      </w:r>
      <w:r w:rsidR="00CB67AE" w:rsidRPr="00CB67AE">
        <w:rPr>
          <w:lang w:val="es-ES_tradnl"/>
        </w:rPr>
        <w:t>3, 4, 5,</w:t>
      </w:r>
      <w:r w:rsidR="00A17352">
        <w:rPr>
          <w:lang w:val="es-ES_tradnl"/>
        </w:rPr>
        <w:t xml:space="preserve"> 9</w:t>
      </w:r>
      <w:r w:rsidR="000D460D">
        <w:rPr>
          <w:lang w:val="es-ES_tradnl"/>
        </w:rPr>
        <w:t>, párrafo</w:t>
      </w:r>
      <w:r w:rsidR="00A17352">
        <w:rPr>
          <w:lang w:val="es-ES_tradnl"/>
        </w:rPr>
        <w:t xml:space="preserve"> 3, 10</w:t>
      </w:r>
      <w:r w:rsidR="000D460D">
        <w:rPr>
          <w:lang w:val="es-ES_tradnl"/>
        </w:rPr>
        <w:t>, párrafo</w:t>
      </w:r>
      <w:r w:rsidR="00CB67AE" w:rsidRPr="00CB67AE">
        <w:rPr>
          <w:lang w:val="es-ES_tradnl"/>
        </w:rPr>
        <w:t xml:space="preserve"> 2, 18 y 19</w:t>
      </w:r>
      <w:r w:rsidR="00CB67AE">
        <w:rPr>
          <w:lang w:val="es-ES_tradnl"/>
        </w:rPr>
        <w:t xml:space="preserve"> </w:t>
      </w:r>
      <w:r w:rsidR="00475F3C" w:rsidRPr="00475F3C">
        <w:rPr>
          <w:lang w:val="es-ES_tradnl"/>
        </w:rPr>
        <w:t>de la Convención</w:t>
      </w:r>
      <w:r w:rsidR="00FB1A46">
        <w:rPr>
          <w:lang w:val="es-ES_tradnl"/>
        </w:rPr>
        <w:t>.</w:t>
      </w:r>
      <w:r w:rsidR="007C2FD6">
        <w:rPr>
          <w:lang w:val="es-ES_tradnl"/>
        </w:rPr>
        <w:t xml:space="preserve"> </w:t>
      </w:r>
      <w:r w:rsidR="00CE0E6E" w:rsidRPr="00600827">
        <w:rPr>
          <w:spacing w:val="-2"/>
          <w:lang w:val="es-ES_tradnl"/>
        </w:rPr>
        <w:t xml:space="preserve">El Protocolo Facultativo entró en vigor para el Estado parte el </w:t>
      </w:r>
      <w:r w:rsidR="008F6E91">
        <w:rPr>
          <w:spacing w:val="-2"/>
          <w:lang w:val="es-ES_tradnl"/>
        </w:rPr>
        <w:t xml:space="preserve">20 de </w:t>
      </w:r>
      <w:r w:rsidR="00F30808">
        <w:rPr>
          <w:spacing w:val="-2"/>
          <w:lang w:val="es-ES_tradnl"/>
        </w:rPr>
        <w:t>abril</w:t>
      </w:r>
      <w:r w:rsidR="008F6E91">
        <w:rPr>
          <w:spacing w:val="-2"/>
          <w:lang w:val="es-ES_tradnl"/>
        </w:rPr>
        <w:t xml:space="preserve"> de 2017</w:t>
      </w:r>
      <w:r w:rsidR="00CE0E6E" w:rsidRPr="00600827">
        <w:rPr>
          <w:spacing w:val="-2"/>
          <w:lang w:val="es-ES_tradnl"/>
        </w:rPr>
        <w:t>.</w:t>
      </w:r>
      <w:r w:rsidR="007C2FD6">
        <w:rPr>
          <w:spacing w:val="-2"/>
          <w:lang w:val="es-ES_tradnl"/>
        </w:rPr>
        <w:t xml:space="preserve"> </w:t>
      </w:r>
    </w:p>
    <w:p w14:paraId="35E0D53B" w14:textId="77777777" w:rsidR="00CE0E6E" w:rsidRPr="005D5092" w:rsidRDefault="00A715DF" w:rsidP="00CE0E6E">
      <w:pPr>
        <w:pStyle w:val="H23G"/>
        <w:ind w:right="1112"/>
        <w:rPr>
          <w:lang w:val="es-ES_tradnl"/>
        </w:rPr>
      </w:pPr>
      <w:r>
        <w:rPr>
          <w:lang w:val="es-ES_tradnl"/>
        </w:rPr>
        <w:tab/>
      </w:r>
      <w:r>
        <w:rPr>
          <w:lang w:val="es-ES_tradnl"/>
        </w:rPr>
        <w:tab/>
      </w:r>
      <w:r w:rsidR="00CE0E6E" w:rsidRPr="0008574D">
        <w:rPr>
          <w:lang w:val="es-ES_tradnl"/>
        </w:rPr>
        <w:t xml:space="preserve">Los hechos según </w:t>
      </w:r>
      <w:r w:rsidR="003668E2">
        <w:rPr>
          <w:lang w:val="es-ES_tradnl"/>
        </w:rPr>
        <w:t>e</w:t>
      </w:r>
      <w:r w:rsidR="00995653">
        <w:rPr>
          <w:lang w:val="es-ES_tradnl"/>
        </w:rPr>
        <w:t xml:space="preserve">l </w:t>
      </w:r>
      <w:r w:rsidR="00CE0E6E" w:rsidRPr="0008574D">
        <w:rPr>
          <w:lang w:val="es-ES_tradnl"/>
        </w:rPr>
        <w:t>autor</w:t>
      </w:r>
    </w:p>
    <w:p w14:paraId="0D60FC66" w14:textId="743DC7E8" w:rsidR="009145C2" w:rsidRDefault="00476221" w:rsidP="00CE0E6E">
      <w:pPr>
        <w:pStyle w:val="SingleTxtG"/>
        <w:rPr>
          <w:lang w:val="es-ES_tradnl"/>
        </w:rPr>
      </w:pPr>
      <w:r>
        <w:rPr>
          <w:lang w:val="es-ES_tradnl"/>
        </w:rPr>
        <w:t>2.1</w:t>
      </w:r>
      <w:r w:rsidR="00F53805">
        <w:rPr>
          <w:lang w:val="es-ES_tradnl"/>
        </w:rPr>
        <w:tab/>
      </w:r>
      <w:r w:rsidR="000A78B9">
        <w:rPr>
          <w:lang w:val="es-ES_tradnl"/>
        </w:rPr>
        <w:t>Durante un tiempo indeterminado, e</w:t>
      </w:r>
      <w:r w:rsidR="002920E5">
        <w:rPr>
          <w:lang w:val="es-ES_tradnl"/>
        </w:rPr>
        <w:t>l autor mantuvo una relación con L.R.R., de nacionalidad paraguaya, fruto de la cual nació su hija C.R</w:t>
      </w:r>
      <w:r w:rsidR="0005321C">
        <w:rPr>
          <w:lang w:val="es-ES_tradnl"/>
        </w:rPr>
        <w:t>.</w:t>
      </w:r>
      <w:r w:rsidR="002968FB" w:rsidRPr="002968FB">
        <w:rPr>
          <w:lang w:val="es-ES_tradnl"/>
        </w:rPr>
        <w:t xml:space="preserve"> </w:t>
      </w:r>
      <w:r w:rsidR="002968FB">
        <w:rPr>
          <w:lang w:val="es-ES_tradnl"/>
        </w:rPr>
        <w:t xml:space="preserve">en La Plata </w:t>
      </w:r>
      <w:r w:rsidR="000D460D">
        <w:rPr>
          <w:lang w:val="es-ES_tradnl"/>
        </w:rPr>
        <w:t>(</w:t>
      </w:r>
      <w:r w:rsidR="002968FB">
        <w:rPr>
          <w:lang w:val="es-ES_tradnl"/>
        </w:rPr>
        <w:t>Argentina</w:t>
      </w:r>
      <w:r w:rsidR="000D460D">
        <w:rPr>
          <w:lang w:val="es-ES_tradnl"/>
        </w:rPr>
        <w:t>)</w:t>
      </w:r>
      <w:r w:rsidR="002920E5">
        <w:rPr>
          <w:lang w:val="es-ES_tradnl"/>
        </w:rPr>
        <w:t xml:space="preserve">. </w:t>
      </w:r>
      <w:r w:rsidR="00F77DDA">
        <w:rPr>
          <w:lang w:val="es-ES_tradnl"/>
        </w:rPr>
        <w:t>En junio de 2009, 1</w:t>
      </w:r>
      <w:r w:rsidR="002968FB">
        <w:rPr>
          <w:lang w:val="es-ES_tradnl"/>
        </w:rPr>
        <w:t>1 días después</w:t>
      </w:r>
      <w:r w:rsidR="00F77DDA">
        <w:rPr>
          <w:lang w:val="es-ES_tradnl"/>
        </w:rPr>
        <w:t xml:space="preserve"> del nacimiento de su hija</w:t>
      </w:r>
      <w:r w:rsidR="002968FB">
        <w:rPr>
          <w:lang w:val="es-ES_tradnl"/>
        </w:rPr>
        <w:t xml:space="preserve">, L.R.R. partió con </w:t>
      </w:r>
      <w:r w:rsidR="00F77DDA">
        <w:rPr>
          <w:lang w:val="es-ES_tradnl"/>
        </w:rPr>
        <w:t>ella</w:t>
      </w:r>
      <w:r w:rsidR="002968FB">
        <w:rPr>
          <w:lang w:val="es-ES_tradnl"/>
        </w:rPr>
        <w:t xml:space="preserve"> a su ciudad natal, Asunción</w:t>
      </w:r>
      <w:r w:rsidR="008D5C76">
        <w:rPr>
          <w:lang w:val="es-ES_tradnl"/>
        </w:rPr>
        <w:t xml:space="preserve"> (</w:t>
      </w:r>
      <w:r w:rsidR="002968FB">
        <w:rPr>
          <w:lang w:val="es-ES_tradnl"/>
        </w:rPr>
        <w:t>Paraguay</w:t>
      </w:r>
      <w:r w:rsidR="008D5C76">
        <w:rPr>
          <w:lang w:val="es-ES_tradnl"/>
        </w:rPr>
        <w:t>)</w:t>
      </w:r>
      <w:r w:rsidR="00281D22">
        <w:rPr>
          <w:lang w:val="es-ES_tradnl"/>
        </w:rPr>
        <w:t>,</w:t>
      </w:r>
      <w:r w:rsidR="009145C2">
        <w:rPr>
          <w:lang w:val="es-ES_tradnl"/>
        </w:rPr>
        <w:t xml:space="preserve"> donde fijaron </w:t>
      </w:r>
      <w:r w:rsidR="002968FB">
        <w:rPr>
          <w:lang w:val="es-ES_tradnl"/>
        </w:rPr>
        <w:t>su residencia.</w:t>
      </w:r>
      <w:r w:rsidR="002920E5">
        <w:rPr>
          <w:lang w:val="es-ES_tradnl"/>
        </w:rPr>
        <w:t xml:space="preserve"> </w:t>
      </w:r>
      <w:r w:rsidR="00BD5ADA">
        <w:rPr>
          <w:lang w:val="es-ES_tradnl"/>
        </w:rPr>
        <w:t xml:space="preserve">El autor </w:t>
      </w:r>
      <w:r w:rsidR="00F77DDA">
        <w:rPr>
          <w:lang w:val="es-ES_tradnl"/>
        </w:rPr>
        <w:t>viaj</w:t>
      </w:r>
      <w:r w:rsidR="00F77DDA" w:rsidRPr="00F77DDA">
        <w:rPr>
          <w:lang w:val="es-ES_tradnl"/>
        </w:rPr>
        <w:t>ó</w:t>
      </w:r>
      <w:r w:rsidR="00F77DDA">
        <w:rPr>
          <w:lang w:val="es-ES_tradnl"/>
        </w:rPr>
        <w:t xml:space="preserve"> ocasionalmente</w:t>
      </w:r>
      <w:r w:rsidR="00BD5ADA">
        <w:rPr>
          <w:lang w:val="es-ES_tradnl"/>
        </w:rPr>
        <w:t xml:space="preserve"> a</w:t>
      </w:r>
      <w:r w:rsidR="00AD2D14">
        <w:rPr>
          <w:lang w:val="es-ES_tradnl"/>
        </w:rPr>
        <w:t>l</w:t>
      </w:r>
      <w:r w:rsidR="00BD5ADA">
        <w:rPr>
          <w:lang w:val="es-ES_tradnl"/>
        </w:rPr>
        <w:t xml:space="preserve"> Paraguay mientras que la niña era pequeña para </w:t>
      </w:r>
      <w:r w:rsidR="00F77DDA">
        <w:rPr>
          <w:lang w:val="es-ES_tradnl"/>
        </w:rPr>
        <w:t>visitarla</w:t>
      </w:r>
      <w:r w:rsidR="00BD5ADA">
        <w:rPr>
          <w:lang w:val="es-ES_tradnl"/>
        </w:rPr>
        <w:t xml:space="preserve">. </w:t>
      </w:r>
      <w:r w:rsidR="00F77DDA">
        <w:rPr>
          <w:lang w:val="es-ES_tradnl"/>
        </w:rPr>
        <w:t>El autor explica que en ningún momento se</w:t>
      </w:r>
      <w:r w:rsidR="004822C7">
        <w:rPr>
          <w:lang w:val="es-ES_tradnl"/>
        </w:rPr>
        <w:t xml:space="preserve"> </w:t>
      </w:r>
      <w:r w:rsidR="00F77DDA">
        <w:rPr>
          <w:lang w:val="es-ES_tradnl"/>
        </w:rPr>
        <w:t>adoptó</w:t>
      </w:r>
      <w:r w:rsidR="004822C7">
        <w:rPr>
          <w:lang w:val="es-ES_tradnl"/>
        </w:rPr>
        <w:t xml:space="preserve"> una resolución sobre la custodia de la </w:t>
      </w:r>
      <w:r w:rsidR="00F77DDA">
        <w:rPr>
          <w:lang w:val="es-ES_tradnl"/>
        </w:rPr>
        <w:t>niña</w:t>
      </w:r>
      <w:r w:rsidR="004822C7">
        <w:rPr>
          <w:lang w:val="es-ES_tradnl"/>
        </w:rPr>
        <w:t xml:space="preserve">, la cual recae de hecho en su madre. </w:t>
      </w:r>
    </w:p>
    <w:p w14:paraId="5CBF7EDD" w14:textId="6CC9F0AF" w:rsidR="001B54DF" w:rsidRDefault="00476221" w:rsidP="00CE0E6E">
      <w:pPr>
        <w:pStyle w:val="SingleTxtG"/>
        <w:rPr>
          <w:lang w:val="es-ES_tradnl"/>
        </w:rPr>
      </w:pPr>
      <w:r>
        <w:rPr>
          <w:lang w:val="es-ES_tradnl"/>
        </w:rPr>
        <w:t>2.2</w:t>
      </w:r>
      <w:r w:rsidR="00F53805">
        <w:rPr>
          <w:lang w:val="es-ES_tradnl"/>
        </w:rPr>
        <w:tab/>
      </w:r>
      <w:r w:rsidR="00BD5ADA">
        <w:rPr>
          <w:lang w:val="es-ES_tradnl"/>
        </w:rPr>
        <w:t>En una fecha indeterminada, L.R.R.</w:t>
      </w:r>
      <w:r w:rsidR="00B74C54">
        <w:rPr>
          <w:lang w:val="es-ES_tradnl"/>
        </w:rPr>
        <w:t xml:space="preserve">, </w:t>
      </w:r>
      <w:r w:rsidR="00281D22">
        <w:rPr>
          <w:lang w:val="es-ES_tradnl"/>
        </w:rPr>
        <w:t>decidió rehacer</w:t>
      </w:r>
      <w:r w:rsidR="00B74C54">
        <w:rPr>
          <w:lang w:val="es-ES_tradnl"/>
        </w:rPr>
        <w:t xml:space="preserve"> </w:t>
      </w:r>
      <w:r w:rsidR="00BD5ADA">
        <w:rPr>
          <w:lang w:val="es-ES_tradnl"/>
        </w:rPr>
        <w:t>su vida</w:t>
      </w:r>
      <w:r w:rsidR="00281D22">
        <w:rPr>
          <w:lang w:val="es-ES_tradnl"/>
        </w:rPr>
        <w:t xml:space="preserve"> y</w:t>
      </w:r>
      <w:r w:rsidR="00B74C54">
        <w:rPr>
          <w:lang w:val="es-ES_tradnl"/>
        </w:rPr>
        <w:t xml:space="preserve"> </w:t>
      </w:r>
      <w:r w:rsidR="00BD5ADA">
        <w:rPr>
          <w:lang w:val="es-ES_tradnl"/>
        </w:rPr>
        <w:t>comenzó a impedir el contacto entre el autor y su hija</w:t>
      </w:r>
      <w:r w:rsidR="00517FEE">
        <w:rPr>
          <w:lang w:val="es-ES_tradnl"/>
        </w:rPr>
        <w:t>.</w:t>
      </w:r>
      <w:r w:rsidR="00BD5ADA">
        <w:rPr>
          <w:lang w:val="es-ES_tradnl"/>
        </w:rPr>
        <w:t xml:space="preserve"> </w:t>
      </w:r>
      <w:r w:rsidR="002920E5">
        <w:rPr>
          <w:lang w:val="es-ES_tradnl"/>
        </w:rPr>
        <w:t xml:space="preserve">El autor explica que, debido a la intransigencia de su expareja, no </w:t>
      </w:r>
      <w:r w:rsidR="009145C2">
        <w:rPr>
          <w:lang w:val="es-ES_tradnl"/>
        </w:rPr>
        <w:t>fue capaz de</w:t>
      </w:r>
      <w:r w:rsidR="002920E5">
        <w:rPr>
          <w:lang w:val="es-ES_tradnl"/>
        </w:rPr>
        <w:t xml:space="preserve"> mantener una comunicación</w:t>
      </w:r>
      <w:r w:rsidR="002E1C73">
        <w:rPr>
          <w:lang w:val="es-ES_tradnl"/>
        </w:rPr>
        <w:t xml:space="preserve"> regular</w:t>
      </w:r>
      <w:r w:rsidR="009145C2">
        <w:rPr>
          <w:lang w:val="es-ES_tradnl"/>
        </w:rPr>
        <w:t xml:space="preserve"> </w:t>
      </w:r>
      <w:r w:rsidR="002920E5">
        <w:rPr>
          <w:lang w:val="es-ES_tradnl"/>
        </w:rPr>
        <w:t xml:space="preserve">con su hija. </w:t>
      </w:r>
    </w:p>
    <w:p w14:paraId="3972CBC3" w14:textId="5A0886BD" w:rsidR="002920E5" w:rsidRDefault="00476221" w:rsidP="00CE0E6E">
      <w:pPr>
        <w:pStyle w:val="SingleTxtG"/>
        <w:rPr>
          <w:lang w:val="es-ES_tradnl"/>
        </w:rPr>
      </w:pPr>
      <w:r>
        <w:rPr>
          <w:lang w:val="es-ES_tradnl"/>
        </w:rPr>
        <w:t>2.3</w:t>
      </w:r>
      <w:r w:rsidR="00F53805">
        <w:rPr>
          <w:lang w:val="es-ES_tradnl"/>
        </w:rPr>
        <w:tab/>
      </w:r>
      <w:r w:rsidR="002920E5">
        <w:rPr>
          <w:lang w:val="es-ES_tradnl"/>
        </w:rPr>
        <w:t xml:space="preserve">El 16 de febrero de 2015, el autor promovió un juicio de </w:t>
      </w:r>
      <w:r w:rsidR="00E177CD">
        <w:rPr>
          <w:lang w:val="es-ES_tradnl"/>
        </w:rPr>
        <w:t>“</w:t>
      </w:r>
      <w:r w:rsidR="002920E5">
        <w:rPr>
          <w:lang w:val="es-ES_tradnl"/>
        </w:rPr>
        <w:t>régimen de relacionamiento</w:t>
      </w:r>
      <w:r w:rsidR="00E177CD">
        <w:rPr>
          <w:lang w:val="es-ES_tradnl"/>
        </w:rPr>
        <w:t>”</w:t>
      </w:r>
      <w:r w:rsidR="002920E5">
        <w:rPr>
          <w:lang w:val="es-ES_tradnl"/>
        </w:rPr>
        <w:t xml:space="preserve"> </w:t>
      </w:r>
      <w:r w:rsidR="001B54DF">
        <w:rPr>
          <w:lang w:val="es-ES_tradnl"/>
        </w:rPr>
        <w:t>ante la Secretar</w:t>
      </w:r>
      <w:r w:rsidR="00BC36A6">
        <w:rPr>
          <w:lang w:val="es-ES_tradnl"/>
        </w:rPr>
        <w:t>í</w:t>
      </w:r>
      <w:r w:rsidR="001B54DF">
        <w:rPr>
          <w:lang w:val="es-ES_tradnl"/>
        </w:rPr>
        <w:t xml:space="preserve">a 7 del Juzgado de la </w:t>
      </w:r>
      <w:r w:rsidR="00AB79C5">
        <w:rPr>
          <w:lang w:val="es-ES_tradnl"/>
        </w:rPr>
        <w:t>Niñez</w:t>
      </w:r>
      <w:r w:rsidR="001B54DF">
        <w:rPr>
          <w:lang w:val="es-ES_tradnl"/>
        </w:rPr>
        <w:t xml:space="preserve"> y la Adolescencia del Cuarto Turno de </w:t>
      </w:r>
      <w:r w:rsidR="00AB79C5">
        <w:rPr>
          <w:lang w:val="es-ES_tradnl"/>
        </w:rPr>
        <w:t>Asunción</w:t>
      </w:r>
      <w:r w:rsidR="001B54DF">
        <w:rPr>
          <w:lang w:val="es-ES_tradnl"/>
        </w:rPr>
        <w:t>. Solicit</w:t>
      </w:r>
      <w:r w:rsidR="001B54DF" w:rsidRPr="001B54DF">
        <w:rPr>
          <w:lang w:val="es-ES_tradnl"/>
        </w:rPr>
        <w:t>ó</w:t>
      </w:r>
      <w:r w:rsidR="001B54DF">
        <w:rPr>
          <w:lang w:val="es-ES_tradnl"/>
        </w:rPr>
        <w:t xml:space="preserve"> que </w:t>
      </w:r>
      <w:r w:rsidR="002920E5">
        <w:rPr>
          <w:lang w:val="es-ES_tradnl"/>
        </w:rPr>
        <w:t xml:space="preserve">su hija pudiera comunicarse telefónicamente con él, y que pudiera realizar viajes a </w:t>
      </w:r>
      <w:r w:rsidR="008718D8">
        <w:rPr>
          <w:lang w:val="es-ES_tradnl"/>
        </w:rPr>
        <w:t xml:space="preserve">la </w:t>
      </w:r>
      <w:r w:rsidR="002920E5">
        <w:rPr>
          <w:lang w:val="es-ES_tradnl"/>
        </w:rPr>
        <w:t>Argentina que serían costeados por el autor</w:t>
      </w:r>
      <w:r w:rsidR="006B078D" w:rsidRPr="008A2BE1">
        <w:rPr>
          <w:rStyle w:val="FootnoteReference"/>
          <w:szCs w:val="18"/>
          <w:lang w:val="es-ES_tradnl"/>
        </w:rPr>
        <w:footnoteReference w:id="3"/>
      </w:r>
      <w:r w:rsidR="00BA3453">
        <w:rPr>
          <w:lang w:val="es-ES_tradnl"/>
        </w:rPr>
        <w:t>.</w:t>
      </w:r>
    </w:p>
    <w:p w14:paraId="03FFCBC3" w14:textId="0FD6C0AE" w:rsidR="002920E5" w:rsidRDefault="00476221" w:rsidP="00CE0E6E">
      <w:pPr>
        <w:pStyle w:val="SingleTxtG"/>
        <w:rPr>
          <w:lang w:val="es-ES_tradnl"/>
        </w:rPr>
      </w:pPr>
      <w:r>
        <w:rPr>
          <w:lang w:val="es-ES_tradnl"/>
        </w:rPr>
        <w:t>2.4</w:t>
      </w:r>
      <w:r w:rsidR="00F53805">
        <w:rPr>
          <w:lang w:val="es-ES_tradnl"/>
        </w:rPr>
        <w:tab/>
      </w:r>
      <w:r w:rsidR="002920E5">
        <w:rPr>
          <w:lang w:val="es-ES_tradnl"/>
        </w:rPr>
        <w:t>El 12 de marzo de 2015, L.R.R. contest</w:t>
      </w:r>
      <w:r w:rsidR="00F9119F" w:rsidRPr="00F9119F">
        <w:rPr>
          <w:lang w:val="es-ES_tradnl"/>
        </w:rPr>
        <w:t>ó</w:t>
      </w:r>
      <w:r w:rsidR="002920E5">
        <w:rPr>
          <w:lang w:val="es-ES_tradnl"/>
        </w:rPr>
        <w:t xml:space="preserve"> la demanda </w:t>
      </w:r>
      <w:r w:rsidR="00630FD6">
        <w:rPr>
          <w:lang w:val="es-ES_tradnl"/>
        </w:rPr>
        <w:t xml:space="preserve">del autor </w:t>
      </w:r>
      <w:r w:rsidR="002920E5">
        <w:rPr>
          <w:lang w:val="es-ES_tradnl"/>
        </w:rPr>
        <w:t xml:space="preserve">dejando </w:t>
      </w:r>
      <w:r w:rsidR="009145C2">
        <w:rPr>
          <w:lang w:val="es-ES_tradnl"/>
        </w:rPr>
        <w:t>claro</w:t>
      </w:r>
      <w:r w:rsidR="002920E5">
        <w:rPr>
          <w:lang w:val="es-ES_tradnl"/>
        </w:rPr>
        <w:t xml:space="preserve"> que </w:t>
      </w:r>
      <w:r w:rsidR="00E177CD">
        <w:rPr>
          <w:lang w:val="es-ES_tradnl"/>
        </w:rPr>
        <w:t>“</w:t>
      </w:r>
      <w:r w:rsidR="002920E5">
        <w:rPr>
          <w:lang w:val="es-ES_tradnl"/>
        </w:rPr>
        <w:t>debido a la negativa de aceptar una propuesta de alimentos</w:t>
      </w:r>
      <w:r w:rsidR="00806238">
        <w:rPr>
          <w:lang w:val="es-ES_tradnl"/>
        </w:rPr>
        <w:t>,</w:t>
      </w:r>
      <w:r w:rsidR="002920E5">
        <w:rPr>
          <w:lang w:val="es-ES_tradnl"/>
        </w:rPr>
        <w:t xml:space="preserve"> a partir del no acuerdo</w:t>
      </w:r>
      <w:r w:rsidR="00630FD6">
        <w:rPr>
          <w:lang w:val="es-ES_tradnl"/>
        </w:rPr>
        <w:t>,</w:t>
      </w:r>
      <w:r w:rsidR="002920E5">
        <w:rPr>
          <w:lang w:val="es-ES_tradnl"/>
        </w:rPr>
        <w:t xml:space="preserve"> tu acercamiento/comunicación será nulo a</w:t>
      </w:r>
      <w:r w:rsidR="00630FD6">
        <w:rPr>
          <w:lang w:val="es-ES_tradnl"/>
        </w:rPr>
        <w:t xml:space="preserve"> través de la voluntad nuestra</w:t>
      </w:r>
      <w:r w:rsidR="00E177CD">
        <w:rPr>
          <w:lang w:val="es-ES_tradnl"/>
        </w:rPr>
        <w:t>”</w:t>
      </w:r>
      <w:r w:rsidR="00630FD6">
        <w:rPr>
          <w:lang w:val="es-ES_tradnl"/>
        </w:rPr>
        <w:t>. El autor explica que</w:t>
      </w:r>
      <w:r w:rsidR="00EA4C91">
        <w:rPr>
          <w:lang w:val="es-ES_tradnl"/>
        </w:rPr>
        <w:t>,</w:t>
      </w:r>
      <w:r w:rsidR="00630FD6">
        <w:rPr>
          <w:lang w:val="es-ES_tradnl"/>
        </w:rPr>
        <w:t xml:space="preserve"> anteriormente, en una fecha indeterminada, </w:t>
      </w:r>
      <w:r w:rsidR="00EA4C91">
        <w:rPr>
          <w:lang w:val="es-ES_tradnl"/>
        </w:rPr>
        <w:t>había sido</w:t>
      </w:r>
      <w:r w:rsidR="00630FD6">
        <w:rPr>
          <w:lang w:val="es-ES_tradnl"/>
        </w:rPr>
        <w:t xml:space="preserve"> demandado </w:t>
      </w:r>
      <w:r w:rsidR="00E177CD">
        <w:rPr>
          <w:lang w:val="es-ES_tradnl"/>
        </w:rPr>
        <w:t>“</w:t>
      </w:r>
      <w:r w:rsidR="002E1C73" w:rsidRPr="002E1C73">
        <w:rPr>
          <w:lang w:val="es-ES_tradnl"/>
        </w:rPr>
        <w:t>por alimentos</w:t>
      </w:r>
      <w:r w:rsidR="00E177CD">
        <w:rPr>
          <w:lang w:val="es-ES_tradnl"/>
        </w:rPr>
        <w:t>”</w:t>
      </w:r>
      <w:r w:rsidR="002E1C73" w:rsidRPr="002E1C73">
        <w:rPr>
          <w:lang w:val="es-ES_tradnl"/>
        </w:rPr>
        <w:t xml:space="preserve"> y </w:t>
      </w:r>
      <w:r w:rsidR="00EA4C91">
        <w:rPr>
          <w:lang w:val="es-ES_tradnl"/>
        </w:rPr>
        <w:t xml:space="preserve">que </w:t>
      </w:r>
      <w:r w:rsidR="002E1C73" w:rsidRPr="002E1C73">
        <w:rPr>
          <w:lang w:val="es-ES_tradnl"/>
        </w:rPr>
        <w:t xml:space="preserve">el motivo por el cual se </w:t>
      </w:r>
      <w:r w:rsidR="00630FD6">
        <w:rPr>
          <w:lang w:val="es-ES_tradnl"/>
        </w:rPr>
        <w:t>negaría</w:t>
      </w:r>
      <w:r w:rsidR="002E1C73" w:rsidRPr="002E1C73">
        <w:rPr>
          <w:lang w:val="es-ES_tradnl"/>
        </w:rPr>
        <w:t xml:space="preserve"> el acceso al relacionamiento con su hija se debería a que el monto abonado ser</w:t>
      </w:r>
      <w:r w:rsidR="00BC36A6">
        <w:rPr>
          <w:lang w:val="es-ES_tradnl"/>
        </w:rPr>
        <w:t>í</w:t>
      </w:r>
      <w:r w:rsidR="002E1C73" w:rsidRPr="002E1C73">
        <w:rPr>
          <w:lang w:val="es-ES_tradnl"/>
        </w:rPr>
        <w:t>a exiguo a criterio de la madre</w:t>
      </w:r>
      <w:r w:rsidR="002E1C73">
        <w:rPr>
          <w:lang w:val="es-ES_tradnl"/>
        </w:rPr>
        <w:t>.</w:t>
      </w:r>
    </w:p>
    <w:p w14:paraId="0738BC1A" w14:textId="70FBA09B" w:rsidR="00EA4C91" w:rsidRDefault="00476221" w:rsidP="00CE0E6E">
      <w:pPr>
        <w:pStyle w:val="SingleTxtG"/>
        <w:rPr>
          <w:lang w:val="es-ES_tradnl"/>
        </w:rPr>
      </w:pPr>
      <w:r>
        <w:rPr>
          <w:lang w:val="es-ES_tradnl"/>
        </w:rPr>
        <w:t>2.5</w:t>
      </w:r>
      <w:r w:rsidR="00F53805">
        <w:rPr>
          <w:lang w:val="es-ES_tradnl"/>
        </w:rPr>
        <w:tab/>
      </w:r>
      <w:r w:rsidR="00052E7B">
        <w:rPr>
          <w:lang w:val="es-ES_tradnl"/>
        </w:rPr>
        <w:t xml:space="preserve">El 14 de abril de 2015, se celebró la audiencia y las partes acordaron que: a) el </w:t>
      </w:r>
      <w:r w:rsidR="00EA4C91">
        <w:rPr>
          <w:lang w:val="es-ES_tradnl"/>
        </w:rPr>
        <w:t>autor</w:t>
      </w:r>
      <w:r w:rsidR="00052E7B">
        <w:rPr>
          <w:lang w:val="es-ES_tradnl"/>
        </w:rPr>
        <w:t xml:space="preserve"> se </w:t>
      </w:r>
      <w:r w:rsidR="00EA4C91">
        <w:rPr>
          <w:lang w:val="es-ES_tradnl"/>
        </w:rPr>
        <w:t>co</w:t>
      </w:r>
      <w:r w:rsidR="00052E7B">
        <w:rPr>
          <w:lang w:val="es-ES_tradnl"/>
        </w:rPr>
        <w:t xml:space="preserve">municaría con su hija </w:t>
      </w:r>
      <w:r w:rsidR="00D62F40">
        <w:rPr>
          <w:lang w:val="es-ES_tradnl"/>
        </w:rPr>
        <w:t>los</w:t>
      </w:r>
      <w:r w:rsidR="00052E7B">
        <w:rPr>
          <w:lang w:val="es-ES_tradnl"/>
        </w:rPr>
        <w:t xml:space="preserve"> lunes, miércoles y viernes de 18</w:t>
      </w:r>
      <w:r w:rsidR="00E61041">
        <w:rPr>
          <w:lang w:val="es-ES_tradnl"/>
        </w:rPr>
        <w:t xml:space="preserve"> </w:t>
      </w:r>
      <w:r w:rsidR="00052E7B">
        <w:rPr>
          <w:lang w:val="es-ES_tradnl"/>
        </w:rPr>
        <w:t>a 19</w:t>
      </w:r>
      <w:r w:rsidR="00E61041">
        <w:rPr>
          <w:lang w:val="es-ES_tradnl"/>
        </w:rPr>
        <w:t xml:space="preserve"> horas </w:t>
      </w:r>
      <w:r w:rsidR="00052E7B">
        <w:rPr>
          <w:lang w:val="es-ES_tradnl"/>
        </w:rPr>
        <w:t>vía Skype</w:t>
      </w:r>
      <w:r w:rsidR="008434DA">
        <w:rPr>
          <w:lang w:val="es-ES_tradnl"/>
        </w:rPr>
        <w:t xml:space="preserve">, proveyendo el </w:t>
      </w:r>
      <w:r w:rsidR="00EA4C91">
        <w:rPr>
          <w:lang w:val="es-ES_tradnl"/>
        </w:rPr>
        <w:t xml:space="preserve">padre el </w:t>
      </w:r>
      <w:r w:rsidR="008434DA">
        <w:rPr>
          <w:lang w:val="es-ES_tradnl"/>
        </w:rPr>
        <w:t>equipamiento necesario</w:t>
      </w:r>
      <w:r w:rsidR="00052E7B">
        <w:rPr>
          <w:lang w:val="es-ES_tradnl"/>
        </w:rPr>
        <w:t xml:space="preserve">; b) la niña pasaría </w:t>
      </w:r>
      <w:r w:rsidR="00E61041">
        <w:rPr>
          <w:lang w:val="es-ES_tradnl"/>
        </w:rPr>
        <w:t>siete</w:t>
      </w:r>
      <w:r w:rsidR="00052E7B">
        <w:rPr>
          <w:lang w:val="es-ES_tradnl"/>
        </w:rPr>
        <w:t xml:space="preserve"> días con </w:t>
      </w:r>
      <w:r w:rsidR="00EA4C91">
        <w:rPr>
          <w:lang w:val="es-ES_tradnl"/>
        </w:rPr>
        <w:t>el autor</w:t>
      </w:r>
      <w:r w:rsidR="00052E7B">
        <w:rPr>
          <w:lang w:val="es-ES_tradnl"/>
        </w:rPr>
        <w:t xml:space="preserve"> en </w:t>
      </w:r>
      <w:r w:rsidR="00E61041">
        <w:rPr>
          <w:lang w:val="es-ES_tradnl"/>
        </w:rPr>
        <w:t xml:space="preserve">la </w:t>
      </w:r>
      <w:r w:rsidR="00052E7B">
        <w:rPr>
          <w:lang w:val="es-ES_tradnl"/>
        </w:rPr>
        <w:t xml:space="preserve">Argentina durante las vacaciones de invierno y otros </w:t>
      </w:r>
      <w:r w:rsidR="00E61041">
        <w:rPr>
          <w:lang w:val="es-ES_tradnl"/>
        </w:rPr>
        <w:t xml:space="preserve">siete </w:t>
      </w:r>
      <w:r w:rsidR="00052E7B">
        <w:rPr>
          <w:lang w:val="es-ES_tradnl"/>
        </w:rPr>
        <w:t xml:space="preserve">días durante la semana </w:t>
      </w:r>
      <w:r w:rsidR="00EA4C91">
        <w:rPr>
          <w:lang w:val="es-ES_tradnl"/>
        </w:rPr>
        <w:t>del cumpleaños del autor (</w:t>
      </w:r>
      <w:r w:rsidR="00052E7B">
        <w:rPr>
          <w:lang w:val="es-ES_tradnl"/>
        </w:rPr>
        <w:t xml:space="preserve">19 de enero), durante las vacaciones de verano; </w:t>
      </w:r>
      <w:r w:rsidR="00EA4C91">
        <w:rPr>
          <w:lang w:val="es-ES_tradnl"/>
        </w:rPr>
        <w:t xml:space="preserve">y </w:t>
      </w:r>
      <w:r w:rsidR="00052E7B">
        <w:rPr>
          <w:lang w:val="es-ES_tradnl"/>
        </w:rPr>
        <w:t xml:space="preserve">c) el autor </w:t>
      </w:r>
      <w:r w:rsidR="00D62F40">
        <w:rPr>
          <w:lang w:val="es-ES_tradnl"/>
        </w:rPr>
        <w:t>pasaría</w:t>
      </w:r>
      <w:r w:rsidR="00052E7B">
        <w:rPr>
          <w:lang w:val="es-ES_tradnl"/>
        </w:rPr>
        <w:t xml:space="preserve"> un sábado al mes con su hija de 9</w:t>
      </w:r>
      <w:r w:rsidR="00E61041">
        <w:rPr>
          <w:lang w:val="es-ES_tradnl"/>
        </w:rPr>
        <w:t xml:space="preserve"> a </w:t>
      </w:r>
      <w:r w:rsidR="00052E7B">
        <w:rPr>
          <w:lang w:val="es-ES_tradnl"/>
        </w:rPr>
        <w:t>18</w:t>
      </w:r>
      <w:r w:rsidR="00E61041">
        <w:rPr>
          <w:lang w:val="es-ES_tradnl"/>
        </w:rPr>
        <w:t xml:space="preserve"> horas.</w:t>
      </w:r>
      <w:r w:rsidR="00BB02FD">
        <w:rPr>
          <w:lang w:val="es-ES_tradnl"/>
        </w:rPr>
        <w:t xml:space="preserve"> </w:t>
      </w:r>
    </w:p>
    <w:p w14:paraId="2694F721" w14:textId="70EC9FB7" w:rsidR="00052E7B" w:rsidRDefault="00EA4C91" w:rsidP="00CE0E6E">
      <w:pPr>
        <w:pStyle w:val="SingleTxtG"/>
        <w:rPr>
          <w:lang w:val="es-ES_tradnl"/>
        </w:rPr>
      </w:pPr>
      <w:r>
        <w:rPr>
          <w:lang w:val="es-ES_tradnl"/>
        </w:rPr>
        <w:t>2.6</w:t>
      </w:r>
      <w:r w:rsidR="00F53805">
        <w:rPr>
          <w:lang w:val="es-ES_tradnl"/>
        </w:rPr>
        <w:tab/>
      </w:r>
      <w:r w:rsidR="00BB02FD">
        <w:rPr>
          <w:lang w:val="es-ES_tradnl"/>
        </w:rPr>
        <w:t xml:space="preserve">El 30 de abril de 2015, el </w:t>
      </w:r>
      <w:r w:rsidR="004106A6">
        <w:rPr>
          <w:lang w:val="es-ES_tradnl"/>
        </w:rPr>
        <w:t xml:space="preserve">Juzgado dictó </w:t>
      </w:r>
      <w:r w:rsidR="00BB02FD">
        <w:rPr>
          <w:lang w:val="es-ES_tradnl"/>
        </w:rPr>
        <w:t xml:space="preserve">sentencia </w:t>
      </w:r>
      <w:r w:rsidR="00BE2BF9">
        <w:rPr>
          <w:lang w:val="es-ES_tradnl"/>
        </w:rPr>
        <w:t xml:space="preserve">definitiva </w:t>
      </w:r>
      <w:r w:rsidR="00BB02FD">
        <w:rPr>
          <w:lang w:val="es-ES_tradnl"/>
        </w:rPr>
        <w:t>SD 139 estableciendo dicho régimen de comunicación</w:t>
      </w:r>
      <w:r w:rsidR="009E1BE3">
        <w:rPr>
          <w:lang w:val="es-ES_tradnl"/>
        </w:rPr>
        <w:t xml:space="preserve"> y visitas</w:t>
      </w:r>
      <w:r w:rsidR="006F20C7" w:rsidRPr="008A2BE1">
        <w:rPr>
          <w:rStyle w:val="FootnoteReference"/>
          <w:szCs w:val="18"/>
          <w:lang w:val="es-ES_tradnl"/>
        </w:rPr>
        <w:footnoteReference w:id="4"/>
      </w:r>
      <w:r w:rsidR="009E1BE3">
        <w:rPr>
          <w:lang w:val="es-ES_tradnl"/>
        </w:rPr>
        <w:t>. El autor solicit</w:t>
      </w:r>
      <w:r w:rsidR="00002245">
        <w:rPr>
          <w:lang w:val="es-ES_tradnl"/>
        </w:rPr>
        <w:t>ó</w:t>
      </w:r>
      <w:r w:rsidR="009E1BE3">
        <w:rPr>
          <w:lang w:val="es-ES_tradnl"/>
        </w:rPr>
        <w:t xml:space="preserve"> en la demanda que se estableciera </w:t>
      </w:r>
      <w:r w:rsidR="00BC36A6">
        <w:rPr>
          <w:lang w:val="es-ES_tradnl"/>
        </w:rPr>
        <w:t>e</w:t>
      </w:r>
      <w:r w:rsidR="009A2299">
        <w:rPr>
          <w:lang w:val="es-ES_tradnl"/>
        </w:rPr>
        <w:t xml:space="preserve">ste </w:t>
      </w:r>
      <w:r w:rsidR="009E1BE3">
        <w:rPr>
          <w:lang w:val="es-ES_tradnl"/>
        </w:rPr>
        <w:t>ré</w:t>
      </w:r>
      <w:r w:rsidR="00002245">
        <w:rPr>
          <w:lang w:val="es-ES_tradnl"/>
        </w:rPr>
        <w:t>gimen bajo apercibimiento de lo</w:t>
      </w:r>
      <w:r w:rsidR="009E1BE3">
        <w:rPr>
          <w:lang w:val="es-ES_tradnl"/>
        </w:rPr>
        <w:t xml:space="preserve"> dispuesto en el </w:t>
      </w:r>
      <w:r w:rsidR="00C43117">
        <w:rPr>
          <w:lang w:val="es-ES_tradnl"/>
        </w:rPr>
        <w:t>artículo</w:t>
      </w:r>
      <w:r w:rsidR="009E1BE3">
        <w:rPr>
          <w:lang w:val="es-ES_tradnl"/>
        </w:rPr>
        <w:t xml:space="preserve"> 96 del </w:t>
      </w:r>
      <w:r w:rsidR="00C43117">
        <w:rPr>
          <w:lang w:val="es-ES_tradnl"/>
        </w:rPr>
        <w:t>Código</w:t>
      </w:r>
      <w:r w:rsidR="009E1BE3">
        <w:rPr>
          <w:lang w:val="es-ES_tradnl"/>
        </w:rPr>
        <w:t xml:space="preserve"> de la </w:t>
      </w:r>
      <w:r w:rsidR="00C43117">
        <w:rPr>
          <w:lang w:val="es-ES_tradnl"/>
        </w:rPr>
        <w:t>Niñez</w:t>
      </w:r>
      <w:r w:rsidR="009E1BE3">
        <w:rPr>
          <w:lang w:val="es-ES_tradnl"/>
        </w:rPr>
        <w:t xml:space="preserve"> y la Adolescencia</w:t>
      </w:r>
      <w:r w:rsidR="006843B9" w:rsidRPr="008A2BE1">
        <w:rPr>
          <w:rStyle w:val="FootnoteReference"/>
          <w:szCs w:val="18"/>
          <w:lang w:val="es-ES_tradnl"/>
        </w:rPr>
        <w:footnoteReference w:id="5"/>
      </w:r>
      <w:r w:rsidR="000E599C">
        <w:rPr>
          <w:lang w:val="es-ES_tradnl"/>
        </w:rPr>
        <w:t xml:space="preserve"> y de la Ley 4711</w:t>
      </w:r>
      <w:r w:rsidR="00DD0E30" w:rsidRPr="008A2BE1">
        <w:rPr>
          <w:rStyle w:val="FootnoteReference"/>
          <w:szCs w:val="18"/>
          <w:lang w:val="es-ES_tradnl"/>
        </w:rPr>
        <w:footnoteReference w:id="6"/>
      </w:r>
      <w:r w:rsidR="009E1BE3">
        <w:rPr>
          <w:lang w:val="es-ES_tradnl"/>
        </w:rPr>
        <w:t>. Sin embargo</w:t>
      </w:r>
      <w:r w:rsidR="00BD0420">
        <w:rPr>
          <w:lang w:val="es-ES_tradnl"/>
        </w:rPr>
        <w:t>,</w:t>
      </w:r>
      <w:r w:rsidR="009E1BE3">
        <w:rPr>
          <w:lang w:val="es-ES_tradnl"/>
        </w:rPr>
        <w:t xml:space="preserve"> su solicitud no fue admitida, motivo por el cual el 11 de junio de 2015 interpuso un recurso de aclaratoria</w:t>
      </w:r>
      <w:r w:rsidR="00E61041">
        <w:rPr>
          <w:lang w:val="es-ES_tradnl"/>
        </w:rPr>
        <w:t>,</w:t>
      </w:r>
      <w:r w:rsidR="009E1BE3">
        <w:rPr>
          <w:lang w:val="es-ES_tradnl"/>
        </w:rPr>
        <w:t xml:space="preserve"> el cual fue rechazado el 13 de agosto de 2015. </w:t>
      </w:r>
      <w:r w:rsidR="002D3398">
        <w:rPr>
          <w:lang w:val="es-ES_tradnl"/>
        </w:rPr>
        <w:t xml:space="preserve">El 11 de agosto de 2016, el Tribunal de </w:t>
      </w:r>
      <w:r w:rsidR="00F30658">
        <w:rPr>
          <w:lang w:val="es-ES_tradnl"/>
        </w:rPr>
        <w:t>A</w:t>
      </w:r>
      <w:r w:rsidR="002D3398">
        <w:rPr>
          <w:lang w:val="es-ES_tradnl"/>
        </w:rPr>
        <w:t>pelación rechaz</w:t>
      </w:r>
      <w:r w:rsidR="002D3398" w:rsidRPr="002D3398">
        <w:rPr>
          <w:lang w:val="es-ES_tradnl"/>
        </w:rPr>
        <w:t>ó</w:t>
      </w:r>
      <w:r w:rsidR="002D3398">
        <w:rPr>
          <w:lang w:val="es-ES_tradnl"/>
        </w:rPr>
        <w:t xml:space="preserve"> la apelación de esta decisión</w:t>
      </w:r>
      <w:r w:rsidR="00633247" w:rsidRPr="008A2BE1">
        <w:rPr>
          <w:rStyle w:val="FootnoteReference"/>
          <w:szCs w:val="18"/>
          <w:lang w:val="es-ES_tradnl"/>
        </w:rPr>
        <w:footnoteReference w:id="7"/>
      </w:r>
      <w:r w:rsidR="00E61041">
        <w:rPr>
          <w:lang w:val="es-ES_tradnl"/>
        </w:rPr>
        <w:t>.</w:t>
      </w:r>
      <w:r w:rsidR="002D3398">
        <w:rPr>
          <w:lang w:val="es-ES_tradnl"/>
        </w:rPr>
        <w:t xml:space="preserve"> </w:t>
      </w:r>
    </w:p>
    <w:p w14:paraId="3BD983FB" w14:textId="1F2CC9B8" w:rsidR="00BE460F" w:rsidRDefault="002B1969" w:rsidP="00BE460F">
      <w:pPr>
        <w:pStyle w:val="SingleTxtG"/>
        <w:rPr>
          <w:lang w:val="es-ES_tradnl"/>
        </w:rPr>
      </w:pPr>
      <w:r>
        <w:rPr>
          <w:lang w:val="es-ES_tradnl"/>
        </w:rPr>
        <w:t>2.7</w:t>
      </w:r>
      <w:r w:rsidR="00F53805">
        <w:rPr>
          <w:lang w:val="es-ES_tradnl"/>
        </w:rPr>
        <w:tab/>
      </w:r>
      <w:r w:rsidR="008434DA">
        <w:rPr>
          <w:lang w:val="es-ES_tradnl"/>
        </w:rPr>
        <w:t xml:space="preserve">El 5 de octubre de 2015, el autor promovió el juicio de ejecución </w:t>
      </w:r>
      <w:r w:rsidR="008434DA" w:rsidRPr="000B4B13">
        <w:rPr>
          <w:lang w:val="es-ES_tradnl"/>
        </w:rPr>
        <w:t>de sentencia</w:t>
      </w:r>
      <w:r w:rsidR="00470D41" w:rsidRPr="000B4B13">
        <w:rPr>
          <w:lang w:val="es-ES_tradnl"/>
        </w:rPr>
        <w:t xml:space="preserve">. </w:t>
      </w:r>
      <w:r w:rsidR="00BE460F" w:rsidRPr="000B4B13">
        <w:rPr>
          <w:lang w:val="es-ES_tradnl"/>
        </w:rPr>
        <w:t xml:space="preserve">Desde entonces, el autor ha denunciado el incumplimiento de la sentencia </w:t>
      </w:r>
      <w:r w:rsidR="000B4B13" w:rsidRPr="000B4B13">
        <w:rPr>
          <w:lang w:val="es-ES_tradnl"/>
        </w:rPr>
        <w:t>solicitando</w:t>
      </w:r>
      <w:r w:rsidR="00BE460F" w:rsidRPr="000B4B13">
        <w:rPr>
          <w:lang w:val="es-ES_tradnl"/>
        </w:rPr>
        <w:t xml:space="preserve"> la aplicación del artículo 96 del Código de la Niñez y la Adolescencia, </w:t>
      </w:r>
      <w:r w:rsidR="00BD0420">
        <w:rPr>
          <w:lang w:val="es-ES_tradnl"/>
        </w:rPr>
        <w:t>d</w:t>
      </w:r>
      <w:r w:rsidR="00BE460F" w:rsidRPr="000B4B13">
        <w:rPr>
          <w:lang w:val="es-ES_tradnl"/>
        </w:rPr>
        <w:t xml:space="preserve">el artículo 236 del </w:t>
      </w:r>
      <w:r w:rsidR="00BD0420" w:rsidRPr="00BD0420">
        <w:rPr>
          <w:lang w:val="es-ES_tradnl"/>
        </w:rPr>
        <w:lastRenderedPageBreak/>
        <w:t>Código de Organización Judicial</w:t>
      </w:r>
      <w:r w:rsidR="00BD0420" w:rsidRPr="008A2BE1">
        <w:rPr>
          <w:rStyle w:val="FootnoteReference"/>
          <w:szCs w:val="18"/>
          <w:lang w:val="es-ES_tradnl"/>
        </w:rPr>
        <w:footnoteReference w:id="8"/>
      </w:r>
      <w:r w:rsidR="00BE460F" w:rsidRPr="000B4B13">
        <w:rPr>
          <w:lang w:val="es-ES_tradnl"/>
        </w:rPr>
        <w:t xml:space="preserve"> y </w:t>
      </w:r>
      <w:r w:rsidR="00BD0420">
        <w:rPr>
          <w:lang w:val="es-ES_tradnl"/>
        </w:rPr>
        <w:t xml:space="preserve">de </w:t>
      </w:r>
      <w:r w:rsidR="00BE460F" w:rsidRPr="000B4B13">
        <w:rPr>
          <w:lang w:val="es-ES_tradnl"/>
        </w:rPr>
        <w:t xml:space="preserve">la Ley 4711, ante el Juzgado de la Niñez y la Adolescencia </w:t>
      </w:r>
      <w:r w:rsidR="00A54AEC">
        <w:rPr>
          <w:lang w:val="es-ES_tradnl"/>
        </w:rPr>
        <w:t xml:space="preserve">los días </w:t>
      </w:r>
      <w:r w:rsidR="00BE460F" w:rsidRPr="000B4B13">
        <w:rPr>
          <w:lang w:val="es-ES_tradnl"/>
        </w:rPr>
        <w:t>14</w:t>
      </w:r>
      <w:r w:rsidR="00BE460F" w:rsidRPr="00BE460F">
        <w:rPr>
          <w:lang w:val="es-ES_tradnl"/>
        </w:rPr>
        <w:t xml:space="preserve"> de diciembre de 2015, </w:t>
      </w:r>
      <w:r w:rsidR="00F4431A">
        <w:rPr>
          <w:lang w:val="es-ES_tradnl"/>
        </w:rPr>
        <w:t xml:space="preserve">y </w:t>
      </w:r>
      <w:r w:rsidR="00BE460F" w:rsidRPr="00BE460F">
        <w:rPr>
          <w:lang w:val="es-ES_tradnl"/>
        </w:rPr>
        <w:t xml:space="preserve">6 </w:t>
      </w:r>
      <w:r w:rsidR="00BE460F">
        <w:rPr>
          <w:lang w:val="es-ES_tradnl"/>
        </w:rPr>
        <w:t xml:space="preserve">y </w:t>
      </w:r>
      <w:r w:rsidR="00BE460F" w:rsidRPr="00BE460F">
        <w:rPr>
          <w:lang w:val="es-ES_tradnl"/>
        </w:rPr>
        <w:t>12 de enero de 2016</w:t>
      </w:r>
      <w:r w:rsidR="00BE460F">
        <w:rPr>
          <w:lang w:val="es-ES_tradnl"/>
        </w:rPr>
        <w:t>. Igualmente present</w:t>
      </w:r>
      <w:r w:rsidR="000B4B13">
        <w:rPr>
          <w:lang w:val="es-ES_tradnl"/>
        </w:rPr>
        <w:t>ó</w:t>
      </w:r>
      <w:r w:rsidR="00BE460F">
        <w:rPr>
          <w:lang w:val="es-ES_tradnl"/>
        </w:rPr>
        <w:t xml:space="preserve"> </w:t>
      </w:r>
      <w:r w:rsidR="00BE460F" w:rsidRPr="00BE460F">
        <w:rPr>
          <w:lang w:val="es-ES_tradnl"/>
        </w:rPr>
        <w:t>quejas por retardo de justicia</w:t>
      </w:r>
      <w:r w:rsidR="00BE460F">
        <w:rPr>
          <w:lang w:val="es-ES_tradnl"/>
        </w:rPr>
        <w:t xml:space="preserve"> </w:t>
      </w:r>
      <w:r w:rsidR="0040086E">
        <w:rPr>
          <w:lang w:val="es-ES_tradnl"/>
        </w:rPr>
        <w:t xml:space="preserve">los días </w:t>
      </w:r>
      <w:r w:rsidR="00BE460F" w:rsidRPr="00BE460F">
        <w:rPr>
          <w:lang w:val="es-ES_tradnl"/>
        </w:rPr>
        <w:t>29 de abril de 2015</w:t>
      </w:r>
      <w:r w:rsidR="00BE460F">
        <w:rPr>
          <w:lang w:val="es-ES_tradnl"/>
        </w:rPr>
        <w:t xml:space="preserve"> y</w:t>
      </w:r>
      <w:r w:rsidR="00BE460F" w:rsidRPr="00BE460F">
        <w:rPr>
          <w:lang w:val="es-ES_tradnl"/>
        </w:rPr>
        <w:t xml:space="preserve"> 24 de febrero de 2016</w:t>
      </w:r>
      <w:r w:rsidR="00633247" w:rsidRPr="008A2BE1">
        <w:rPr>
          <w:rStyle w:val="FootnoteReference"/>
          <w:szCs w:val="18"/>
          <w:lang w:val="es-ES_tradnl"/>
        </w:rPr>
        <w:footnoteReference w:id="9"/>
      </w:r>
      <w:r w:rsidR="00BE460F">
        <w:rPr>
          <w:lang w:val="es-ES_tradnl"/>
        </w:rPr>
        <w:t>.</w:t>
      </w:r>
      <w:r w:rsidR="00D0686C" w:rsidRPr="00D0686C">
        <w:t xml:space="preserve"> </w:t>
      </w:r>
      <w:r w:rsidR="00D0686C" w:rsidRPr="00D0686C">
        <w:rPr>
          <w:lang w:val="es-ES_tradnl"/>
        </w:rPr>
        <w:t xml:space="preserve">También ha solicitado la adopción de medidas cautelares a los tribunales del Estado parte </w:t>
      </w:r>
      <w:r w:rsidR="00A54AEC">
        <w:rPr>
          <w:lang w:val="es-ES_tradnl"/>
        </w:rPr>
        <w:t xml:space="preserve">los días </w:t>
      </w:r>
      <w:r w:rsidR="00D0686C" w:rsidRPr="00D0686C">
        <w:rPr>
          <w:lang w:val="es-ES_tradnl"/>
        </w:rPr>
        <w:t xml:space="preserve">22 </w:t>
      </w:r>
      <w:r w:rsidR="000A5288">
        <w:rPr>
          <w:lang w:val="es-ES_tradnl"/>
        </w:rPr>
        <w:t xml:space="preserve">y </w:t>
      </w:r>
      <w:r w:rsidR="00D0686C" w:rsidRPr="00D0686C">
        <w:rPr>
          <w:lang w:val="es-ES_tradnl"/>
        </w:rPr>
        <w:t>29 de abril de 2015</w:t>
      </w:r>
      <w:r w:rsidR="007D7FC3">
        <w:rPr>
          <w:lang w:val="es-ES_tradnl"/>
        </w:rPr>
        <w:t xml:space="preserve"> y</w:t>
      </w:r>
      <w:r w:rsidR="00D0686C" w:rsidRPr="00D0686C">
        <w:rPr>
          <w:lang w:val="es-ES_tradnl"/>
        </w:rPr>
        <w:t xml:space="preserve"> 6 de enero de 2016</w:t>
      </w:r>
      <w:r w:rsidR="007D7FC3">
        <w:rPr>
          <w:lang w:val="es-ES_tradnl"/>
        </w:rPr>
        <w:t>, sin obtener una respuesta</w:t>
      </w:r>
      <w:r w:rsidR="00633247" w:rsidRPr="008A2BE1">
        <w:rPr>
          <w:rStyle w:val="FootnoteReference"/>
          <w:szCs w:val="18"/>
          <w:lang w:val="es-ES_tradnl"/>
        </w:rPr>
        <w:footnoteReference w:id="10"/>
      </w:r>
      <w:r w:rsidR="00D0686C" w:rsidRPr="00D0686C">
        <w:rPr>
          <w:lang w:val="es-ES_tradnl"/>
        </w:rPr>
        <w:t>.</w:t>
      </w:r>
      <w:r w:rsidR="00462DAD">
        <w:rPr>
          <w:lang w:val="es-ES_tradnl"/>
        </w:rPr>
        <w:t xml:space="preserve"> El autor explica que su solicitud de medida cautelar no ha sido analizada por la justicia paraguaya en ninguna de las instancias. </w:t>
      </w:r>
    </w:p>
    <w:p w14:paraId="22A9099B" w14:textId="1443695E" w:rsidR="00BE460F" w:rsidRPr="00BE460F" w:rsidRDefault="00476221" w:rsidP="00BE460F">
      <w:pPr>
        <w:pStyle w:val="SingleTxtG"/>
        <w:rPr>
          <w:lang w:val="es-ES_tradnl"/>
        </w:rPr>
      </w:pPr>
      <w:r>
        <w:rPr>
          <w:lang w:val="es-ES_tradnl"/>
        </w:rPr>
        <w:t>2.8</w:t>
      </w:r>
      <w:r w:rsidR="00F53805">
        <w:rPr>
          <w:lang w:val="es-ES_tradnl"/>
        </w:rPr>
        <w:tab/>
      </w:r>
      <w:r w:rsidR="00BE460F">
        <w:rPr>
          <w:lang w:val="es-ES_tradnl"/>
        </w:rPr>
        <w:t xml:space="preserve">El 30 de marzo de 2016, el </w:t>
      </w:r>
      <w:r w:rsidR="00BE460F" w:rsidRPr="00751345">
        <w:rPr>
          <w:lang w:val="es-ES_tradnl"/>
        </w:rPr>
        <w:t>Tribunal de Apelación</w:t>
      </w:r>
      <w:r w:rsidR="00BC36A6">
        <w:rPr>
          <w:lang w:val="es-ES_tradnl"/>
        </w:rPr>
        <w:t>,</w:t>
      </w:r>
      <w:r w:rsidR="00BE460F" w:rsidRPr="00751345">
        <w:rPr>
          <w:lang w:val="es-ES_tradnl"/>
        </w:rPr>
        <w:t xml:space="preserve"> mediante</w:t>
      </w:r>
      <w:r w:rsidR="00751345" w:rsidRPr="00751345">
        <w:rPr>
          <w:lang w:val="es-ES_tradnl"/>
        </w:rPr>
        <w:t xml:space="preserve"> auto interlocutorio</w:t>
      </w:r>
      <w:r w:rsidR="00BE460F" w:rsidRPr="00751345">
        <w:rPr>
          <w:lang w:val="es-ES_tradnl"/>
        </w:rPr>
        <w:t xml:space="preserve"> AI 64</w:t>
      </w:r>
      <w:r w:rsidR="00BC36A6">
        <w:rPr>
          <w:lang w:val="es-ES_tradnl"/>
        </w:rPr>
        <w:t>,</w:t>
      </w:r>
      <w:r w:rsidR="00BE460F" w:rsidRPr="00751345">
        <w:rPr>
          <w:lang w:val="es-ES_tradnl"/>
        </w:rPr>
        <w:t xml:space="preserve"> resolvió </w:t>
      </w:r>
      <w:r w:rsidR="00BE460F">
        <w:rPr>
          <w:lang w:val="es-ES_tradnl"/>
        </w:rPr>
        <w:t>hacer lugar a la queja por retardo de</w:t>
      </w:r>
      <w:r w:rsidR="00004594">
        <w:rPr>
          <w:lang w:val="es-ES_tradnl"/>
        </w:rPr>
        <w:t xml:space="preserve"> </w:t>
      </w:r>
      <w:r w:rsidR="00BE460F">
        <w:rPr>
          <w:lang w:val="es-ES_tradnl"/>
        </w:rPr>
        <w:t>justicia y emplaz</w:t>
      </w:r>
      <w:r w:rsidR="003111B3">
        <w:rPr>
          <w:lang w:val="es-ES_tradnl"/>
        </w:rPr>
        <w:t>ó</w:t>
      </w:r>
      <w:r w:rsidR="00BE460F">
        <w:rPr>
          <w:lang w:val="es-ES_tradnl"/>
        </w:rPr>
        <w:t xml:space="preserve"> al Juzgado para que dictara la providencia que </w:t>
      </w:r>
      <w:r w:rsidR="003111B3">
        <w:rPr>
          <w:lang w:val="es-ES_tradnl"/>
        </w:rPr>
        <w:t>diera</w:t>
      </w:r>
      <w:r w:rsidR="00BE460F">
        <w:rPr>
          <w:lang w:val="es-ES_tradnl"/>
        </w:rPr>
        <w:t xml:space="preserve"> inicio al pedido de </w:t>
      </w:r>
      <w:r w:rsidR="00004594">
        <w:rPr>
          <w:lang w:val="es-ES_tradnl"/>
        </w:rPr>
        <w:t>ejecución</w:t>
      </w:r>
      <w:r w:rsidR="00BE460F">
        <w:rPr>
          <w:lang w:val="es-ES_tradnl"/>
        </w:rPr>
        <w:t xml:space="preserve"> de sentencia dentro del plazo de 72 horas a partir de la notificación de la resolución. El 7 de abril de 2016, mediante </w:t>
      </w:r>
      <w:r w:rsidR="008133AA" w:rsidRPr="008133AA">
        <w:rPr>
          <w:lang w:val="es-ES_tradnl"/>
        </w:rPr>
        <w:t xml:space="preserve">auto interlocutorio </w:t>
      </w:r>
      <w:r w:rsidR="00BE460F">
        <w:rPr>
          <w:lang w:val="es-ES_tradnl"/>
        </w:rPr>
        <w:t>AI 66</w:t>
      </w:r>
      <w:r w:rsidR="00806238">
        <w:rPr>
          <w:lang w:val="es-ES_tradnl"/>
        </w:rPr>
        <w:t>,</w:t>
      </w:r>
      <w:r w:rsidR="00BE460F">
        <w:rPr>
          <w:lang w:val="es-ES_tradnl"/>
        </w:rPr>
        <w:t xml:space="preserve"> el Juzgado </w:t>
      </w:r>
      <w:r w:rsidR="003111B3">
        <w:rPr>
          <w:lang w:val="es-ES_tradnl"/>
        </w:rPr>
        <w:t xml:space="preserve">de la Niñez y la Adolescencia decidió </w:t>
      </w:r>
      <w:r w:rsidR="00BE460F">
        <w:rPr>
          <w:lang w:val="es-ES_tradnl"/>
        </w:rPr>
        <w:t xml:space="preserve">que se tuviera nuevamente por iniciada la ejecución planteada sobre el régimen de relacionamiento y que se </w:t>
      </w:r>
      <w:r w:rsidR="00004594">
        <w:rPr>
          <w:lang w:val="es-ES_tradnl"/>
        </w:rPr>
        <w:t>corriera</w:t>
      </w:r>
      <w:r w:rsidR="00BE460F">
        <w:rPr>
          <w:lang w:val="es-ES_tradnl"/>
        </w:rPr>
        <w:t xml:space="preserve"> traslado </w:t>
      </w:r>
      <w:r w:rsidR="00004594">
        <w:rPr>
          <w:lang w:val="es-ES_tradnl"/>
        </w:rPr>
        <w:t>a</w:t>
      </w:r>
      <w:r w:rsidR="003111B3">
        <w:rPr>
          <w:lang w:val="es-ES_tradnl"/>
        </w:rPr>
        <w:t xml:space="preserve"> </w:t>
      </w:r>
      <w:r w:rsidR="00004594">
        <w:rPr>
          <w:lang w:val="es-ES_tradnl"/>
        </w:rPr>
        <w:t>l</w:t>
      </w:r>
      <w:r w:rsidR="003111B3">
        <w:rPr>
          <w:lang w:val="es-ES_tradnl"/>
        </w:rPr>
        <w:t>a</w:t>
      </w:r>
      <w:r w:rsidR="00004594">
        <w:rPr>
          <w:lang w:val="es-ES_tradnl"/>
        </w:rPr>
        <w:t xml:space="preserve"> demandad</w:t>
      </w:r>
      <w:r w:rsidR="003111B3">
        <w:rPr>
          <w:lang w:val="es-ES_tradnl"/>
        </w:rPr>
        <w:t>a</w:t>
      </w:r>
      <w:r w:rsidR="00BE460F">
        <w:rPr>
          <w:lang w:val="es-ES_tradnl"/>
        </w:rPr>
        <w:t xml:space="preserve"> en el plazo de tres </w:t>
      </w:r>
      <w:r w:rsidR="00004594">
        <w:rPr>
          <w:lang w:val="es-ES_tradnl"/>
        </w:rPr>
        <w:t>días</w:t>
      </w:r>
      <w:r w:rsidR="00BE460F">
        <w:rPr>
          <w:lang w:val="es-ES_tradnl"/>
        </w:rPr>
        <w:t>. En mayo de 2016</w:t>
      </w:r>
      <w:r w:rsidR="003111B3">
        <w:rPr>
          <w:lang w:val="es-ES_tradnl"/>
        </w:rPr>
        <w:t>,</w:t>
      </w:r>
      <w:r w:rsidR="00BE460F">
        <w:rPr>
          <w:lang w:val="es-ES_tradnl"/>
        </w:rPr>
        <w:t xml:space="preserve"> mediante </w:t>
      </w:r>
      <w:r w:rsidR="008133AA">
        <w:rPr>
          <w:lang w:val="es-ES_tradnl"/>
        </w:rPr>
        <w:t xml:space="preserve">auto interlocutorio </w:t>
      </w:r>
      <w:r w:rsidR="00BE460F">
        <w:rPr>
          <w:lang w:val="es-ES_tradnl"/>
        </w:rPr>
        <w:t xml:space="preserve">AI 128 el Juzgado resolvió hacer lugar al cumplimento de la sentencia y disponer la comisión de una trabajadora social al </w:t>
      </w:r>
      <w:r w:rsidR="00004594">
        <w:rPr>
          <w:lang w:val="es-ES_tradnl"/>
        </w:rPr>
        <w:t>domicilio</w:t>
      </w:r>
      <w:r w:rsidR="00BE460F">
        <w:rPr>
          <w:lang w:val="es-ES_tradnl"/>
        </w:rPr>
        <w:t xml:space="preserve"> de la </w:t>
      </w:r>
      <w:r w:rsidR="00004594">
        <w:rPr>
          <w:lang w:val="es-ES_tradnl"/>
        </w:rPr>
        <w:t>demandada</w:t>
      </w:r>
      <w:r w:rsidR="00BE460F">
        <w:rPr>
          <w:lang w:val="es-ES_tradnl"/>
        </w:rPr>
        <w:t xml:space="preserve"> a efectos de proceder al régimen de relacionamiento </w:t>
      </w:r>
      <w:r w:rsidR="006D7C8F">
        <w:rPr>
          <w:lang w:val="es-ES_tradnl"/>
        </w:rPr>
        <w:t xml:space="preserve">de la </w:t>
      </w:r>
      <w:r w:rsidR="00004594">
        <w:rPr>
          <w:lang w:val="es-ES_tradnl"/>
        </w:rPr>
        <w:t>niña</w:t>
      </w:r>
      <w:r w:rsidR="006D7C8F">
        <w:rPr>
          <w:lang w:val="es-ES_tradnl"/>
        </w:rPr>
        <w:t xml:space="preserve"> con el autor. </w:t>
      </w:r>
      <w:r w:rsidR="00736D74">
        <w:rPr>
          <w:lang w:val="es-ES_tradnl"/>
        </w:rPr>
        <w:t xml:space="preserve">El 28 de junio </w:t>
      </w:r>
      <w:r w:rsidR="00A86F50">
        <w:rPr>
          <w:lang w:val="es-ES_tradnl"/>
        </w:rPr>
        <w:t>de 2016, el Juzgado</w:t>
      </w:r>
      <w:r w:rsidR="00BC36A6">
        <w:rPr>
          <w:lang w:val="es-ES_tradnl"/>
        </w:rPr>
        <w:t>,</w:t>
      </w:r>
      <w:r w:rsidR="00A86F50">
        <w:rPr>
          <w:lang w:val="es-ES_tradnl"/>
        </w:rPr>
        <w:t xml:space="preserve"> mediante sentencia </w:t>
      </w:r>
      <w:r w:rsidR="00BE2BF9">
        <w:rPr>
          <w:lang w:val="es-ES_tradnl"/>
        </w:rPr>
        <w:t xml:space="preserve">definitiva </w:t>
      </w:r>
      <w:r w:rsidR="00A86F50">
        <w:rPr>
          <w:lang w:val="es-ES_tradnl"/>
        </w:rPr>
        <w:t>SD 188, orden</w:t>
      </w:r>
      <w:r w:rsidR="003111B3">
        <w:rPr>
          <w:lang w:val="es-ES_tradnl"/>
        </w:rPr>
        <w:t>ó</w:t>
      </w:r>
      <w:r w:rsidR="00A86F50">
        <w:rPr>
          <w:lang w:val="es-ES_tradnl"/>
        </w:rPr>
        <w:t xml:space="preserve"> hacer lugar a la ejecución planteada por el autor en los términos de la</w:t>
      </w:r>
      <w:r w:rsidR="00BE2BF9">
        <w:rPr>
          <w:lang w:val="es-ES_tradnl"/>
        </w:rPr>
        <w:t xml:space="preserve"> sentencia definitiva</w:t>
      </w:r>
      <w:r w:rsidR="00A86F50">
        <w:rPr>
          <w:lang w:val="es-ES_tradnl"/>
        </w:rPr>
        <w:t xml:space="preserve"> SD 139 del 30 de abril de 2015. </w:t>
      </w:r>
      <w:r w:rsidR="001F146F">
        <w:rPr>
          <w:lang w:val="es-ES_tradnl"/>
        </w:rPr>
        <w:t>El autor señala que</w:t>
      </w:r>
      <w:r w:rsidR="001F146F" w:rsidRPr="001F146F">
        <w:rPr>
          <w:lang w:val="es-ES_tradnl"/>
        </w:rPr>
        <w:t xml:space="preserve"> las medidas impuestas mediante el auto interlocutorio AI </w:t>
      </w:r>
      <w:r w:rsidR="001F146F">
        <w:rPr>
          <w:lang w:val="es-ES_tradnl"/>
        </w:rPr>
        <w:t xml:space="preserve">66 </w:t>
      </w:r>
      <w:r w:rsidR="001F146F" w:rsidRPr="001F146F">
        <w:rPr>
          <w:lang w:val="es-ES_tradnl"/>
        </w:rPr>
        <w:t xml:space="preserve">y la sentencia </w:t>
      </w:r>
      <w:r w:rsidR="00BE2BF9">
        <w:rPr>
          <w:lang w:val="es-ES_tradnl"/>
        </w:rPr>
        <w:t xml:space="preserve">definitiva </w:t>
      </w:r>
      <w:r w:rsidR="001F146F" w:rsidRPr="001F146F">
        <w:rPr>
          <w:lang w:val="es-ES_tradnl"/>
        </w:rPr>
        <w:t>SD 188 no expiden sobre las medidas para asegurar el cumplimento ante la serie de denuncias presentadas por el autor. No hacen referencia tampoco a los numerosos pedidos obrantes en autos donde se denuncia la falta de cumplimiento del régimen de relacionamiento por parte de la demandada y se solicita una medida cautelar.</w:t>
      </w:r>
    </w:p>
    <w:p w14:paraId="49E2357B" w14:textId="2D37349F" w:rsidR="00BE460F" w:rsidRPr="00907FF5" w:rsidRDefault="00476221">
      <w:pPr>
        <w:pStyle w:val="SingleTxtG"/>
        <w:rPr>
          <w:lang w:val="es-ES_tradnl"/>
        </w:rPr>
      </w:pPr>
      <w:r>
        <w:rPr>
          <w:lang w:val="es-ES_tradnl"/>
        </w:rPr>
        <w:t>2.9</w:t>
      </w:r>
      <w:r w:rsidR="00F53805">
        <w:rPr>
          <w:lang w:val="es-ES_tradnl"/>
        </w:rPr>
        <w:tab/>
      </w:r>
      <w:r w:rsidR="00470D41" w:rsidRPr="00D0686C">
        <w:rPr>
          <w:lang w:val="es-ES_tradnl"/>
        </w:rPr>
        <w:t xml:space="preserve">Desde entonces, el autor </w:t>
      </w:r>
      <w:r w:rsidR="00E07F1F">
        <w:rPr>
          <w:lang w:val="es-ES_tradnl"/>
        </w:rPr>
        <w:t>volvió a denunciar</w:t>
      </w:r>
      <w:r w:rsidR="00D0686C" w:rsidRPr="00D0686C">
        <w:rPr>
          <w:lang w:val="es-ES_tradnl"/>
        </w:rPr>
        <w:t xml:space="preserve"> </w:t>
      </w:r>
      <w:r w:rsidR="007327E8" w:rsidRPr="00D0686C">
        <w:rPr>
          <w:lang w:val="es-ES_tradnl"/>
        </w:rPr>
        <w:t xml:space="preserve">el incumplimiento de la sentencia </w:t>
      </w:r>
      <w:r w:rsidR="00A54AEC">
        <w:rPr>
          <w:lang w:val="es-ES_tradnl"/>
        </w:rPr>
        <w:t xml:space="preserve">los días </w:t>
      </w:r>
      <w:r w:rsidR="007327E8" w:rsidRPr="00D0686C">
        <w:rPr>
          <w:lang w:val="es-ES_tradnl"/>
        </w:rPr>
        <w:t xml:space="preserve">8 de julio, 2 </w:t>
      </w:r>
      <w:r w:rsidR="000A5288">
        <w:rPr>
          <w:lang w:val="es-ES_tradnl"/>
        </w:rPr>
        <w:t xml:space="preserve">y </w:t>
      </w:r>
      <w:r w:rsidR="007327E8" w:rsidRPr="00D0686C">
        <w:rPr>
          <w:lang w:val="es-ES_tradnl"/>
        </w:rPr>
        <w:t xml:space="preserve">24 de agosto, </w:t>
      </w:r>
      <w:r w:rsidR="00834F05" w:rsidRPr="00D0686C">
        <w:rPr>
          <w:lang w:val="es-ES_tradnl"/>
        </w:rPr>
        <w:t xml:space="preserve">3 de noviembre, </w:t>
      </w:r>
      <w:r w:rsidR="007327E8" w:rsidRPr="00D0686C">
        <w:rPr>
          <w:lang w:val="es-ES_tradnl"/>
        </w:rPr>
        <w:t xml:space="preserve">7 </w:t>
      </w:r>
      <w:r w:rsidR="000A5288">
        <w:rPr>
          <w:lang w:val="es-ES_tradnl"/>
        </w:rPr>
        <w:t xml:space="preserve">y </w:t>
      </w:r>
      <w:r w:rsidR="00834F05" w:rsidRPr="00D0686C">
        <w:rPr>
          <w:lang w:val="es-ES_tradnl"/>
        </w:rPr>
        <w:t>26 de diciembre de 2016, 15 de febrero y 6 de marzo de 2017</w:t>
      </w:r>
      <w:r w:rsidR="00633247" w:rsidRPr="008A2BE1">
        <w:rPr>
          <w:rStyle w:val="FootnoteReference"/>
          <w:szCs w:val="18"/>
          <w:lang w:val="es-ES_tradnl"/>
        </w:rPr>
        <w:footnoteReference w:id="11"/>
      </w:r>
      <w:r w:rsidR="00834F05" w:rsidRPr="00D0686C">
        <w:rPr>
          <w:lang w:val="es-ES_tradnl"/>
        </w:rPr>
        <w:t xml:space="preserve">. Igualmente ha presentado </w:t>
      </w:r>
      <w:r w:rsidR="007D7FC3">
        <w:rPr>
          <w:lang w:val="es-ES_tradnl"/>
        </w:rPr>
        <w:t>otra queja</w:t>
      </w:r>
      <w:r w:rsidR="00834F05" w:rsidRPr="00D0686C">
        <w:rPr>
          <w:lang w:val="es-ES_tradnl"/>
        </w:rPr>
        <w:t xml:space="preserve"> por retardo de justicia ante la Corte Suprema de Justicia</w:t>
      </w:r>
      <w:r w:rsidR="00734D4B" w:rsidRPr="00D0686C">
        <w:rPr>
          <w:lang w:val="es-ES_tradnl"/>
        </w:rPr>
        <w:t>,</w:t>
      </w:r>
      <w:r w:rsidR="00F669C1">
        <w:rPr>
          <w:lang w:val="es-ES_tradnl"/>
        </w:rPr>
        <w:t xml:space="preserve"> </w:t>
      </w:r>
      <w:r w:rsidR="00A54AEC">
        <w:rPr>
          <w:lang w:val="es-ES_tradnl"/>
        </w:rPr>
        <w:t xml:space="preserve">el </w:t>
      </w:r>
      <w:r w:rsidR="00834F05" w:rsidRPr="00D0686C">
        <w:rPr>
          <w:lang w:val="es-ES_tradnl"/>
        </w:rPr>
        <w:t>23 de marzo de 2017</w:t>
      </w:r>
      <w:r w:rsidR="00470D41" w:rsidRPr="00D0686C">
        <w:rPr>
          <w:lang w:val="es-ES_tradnl"/>
        </w:rPr>
        <w:t xml:space="preserve">. </w:t>
      </w:r>
    </w:p>
    <w:p w14:paraId="21B4BC93" w14:textId="7690163C" w:rsidR="001867C2" w:rsidRDefault="00476221" w:rsidP="00470D41">
      <w:pPr>
        <w:pStyle w:val="SingleTxtG"/>
        <w:rPr>
          <w:lang w:val="es-ES_tradnl"/>
        </w:rPr>
      </w:pPr>
      <w:r>
        <w:rPr>
          <w:lang w:val="es-ES_tradnl"/>
        </w:rPr>
        <w:t>2.10</w:t>
      </w:r>
      <w:r w:rsidR="00F53805">
        <w:rPr>
          <w:lang w:val="es-ES_tradnl"/>
        </w:rPr>
        <w:tab/>
      </w:r>
      <w:r w:rsidR="00B41212">
        <w:rPr>
          <w:lang w:val="es-ES_tradnl"/>
        </w:rPr>
        <w:t>El autor señala que</w:t>
      </w:r>
      <w:r w:rsidR="004C400F">
        <w:rPr>
          <w:lang w:val="es-ES_tradnl"/>
        </w:rPr>
        <w:t>,</w:t>
      </w:r>
      <w:r w:rsidR="00B41212">
        <w:rPr>
          <w:lang w:val="es-ES_tradnl"/>
        </w:rPr>
        <w:t xml:space="preserve"> el 25 de abril de 2017, </w:t>
      </w:r>
      <w:r w:rsidR="004C400F">
        <w:rPr>
          <w:lang w:val="es-ES_tradnl"/>
        </w:rPr>
        <w:t xml:space="preserve">el </w:t>
      </w:r>
      <w:r w:rsidR="00B41212">
        <w:rPr>
          <w:lang w:val="es-ES_tradnl"/>
        </w:rPr>
        <w:t>Tribunal de Apelación, mediante</w:t>
      </w:r>
      <w:r w:rsidR="008133AA" w:rsidRPr="008133AA">
        <w:t xml:space="preserve"> </w:t>
      </w:r>
      <w:r w:rsidR="008133AA" w:rsidRPr="008133AA">
        <w:rPr>
          <w:lang w:val="es-ES_tradnl"/>
        </w:rPr>
        <w:t>auto interlocutorio</w:t>
      </w:r>
      <w:r w:rsidR="00B41212">
        <w:rPr>
          <w:lang w:val="es-ES_tradnl"/>
        </w:rPr>
        <w:t xml:space="preserve"> AI 60</w:t>
      </w:r>
      <w:r w:rsidR="004C400F">
        <w:rPr>
          <w:lang w:val="es-ES_tradnl"/>
        </w:rPr>
        <w:t>,</w:t>
      </w:r>
      <w:r w:rsidR="00B41212">
        <w:rPr>
          <w:lang w:val="es-ES_tradnl"/>
        </w:rPr>
        <w:t xml:space="preserve"> sostuvo que</w:t>
      </w:r>
      <w:r w:rsidR="008A2BE1">
        <w:rPr>
          <w:lang w:val="es-ES_tradnl"/>
        </w:rPr>
        <w:t>:</w:t>
      </w:r>
    </w:p>
    <w:p w14:paraId="062A960A" w14:textId="5234F116" w:rsidR="00B41212" w:rsidRDefault="00B41212" w:rsidP="00AC0BD3">
      <w:pPr>
        <w:pStyle w:val="SingleTxtG"/>
        <w:ind w:left="1701"/>
        <w:rPr>
          <w:lang w:val="es-ES_tradnl"/>
        </w:rPr>
      </w:pPr>
      <w:r>
        <w:rPr>
          <w:lang w:val="es-ES_tradnl"/>
        </w:rPr>
        <w:t>el derecho a la ejecución de sentencias y resoluciones judiciales forma parte del derecho fundamental a la tutela efectiva de los derechos (art</w:t>
      </w:r>
      <w:r w:rsidR="0049207B">
        <w:rPr>
          <w:lang w:val="es-ES_tradnl"/>
        </w:rPr>
        <w:t>ículos</w:t>
      </w:r>
      <w:r>
        <w:rPr>
          <w:lang w:val="es-ES_tradnl"/>
        </w:rPr>
        <w:t xml:space="preserve"> 163 y 519 del </w:t>
      </w:r>
      <w:r w:rsidR="00806238">
        <w:rPr>
          <w:lang w:val="es-ES_tradnl"/>
        </w:rPr>
        <w:t>Código de Procedimiento Civil</w:t>
      </w:r>
      <w:r>
        <w:rPr>
          <w:lang w:val="es-ES_tradnl"/>
        </w:rPr>
        <w:t xml:space="preserve">) y ninguna autoridad puede dejar sin efecto resoluciones que han pasado en autoridad de cosa </w:t>
      </w:r>
      <w:r w:rsidR="00F0483D">
        <w:rPr>
          <w:lang w:val="es-ES_tradnl"/>
        </w:rPr>
        <w:t>juzgada</w:t>
      </w:r>
      <w:r>
        <w:rPr>
          <w:lang w:val="es-ES_tradnl"/>
        </w:rPr>
        <w:t xml:space="preserve"> ni mucho menos retardar su ejecución, </w:t>
      </w:r>
      <w:r w:rsidR="00F0483D">
        <w:rPr>
          <w:lang w:val="es-ES_tradnl"/>
        </w:rPr>
        <w:t>más cuando está en juego el interés superior de un</w:t>
      </w:r>
      <w:r w:rsidR="00806238">
        <w:rPr>
          <w:lang w:val="es-ES_tradnl"/>
        </w:rPr>
        <w:t>a</w:t>
      </w:r>
      <w:r w:rsidR="00F0483D">
        <w:rPr>
          <w:lang w:val="es-ES_tradnl"/>
        </w:rPr>
        <w:t xml:space="preserve"> niña quien tiene el derecho de relacionarse con su progenitor no conviviente […] es obligación del magistrado que las sentencias y resoluciones dictadas se ejecuten en tiempo oportuno […]. Por otra parte, si bien es atendible lo manifestado por la madre ante la trabajadora social de que no cuenta con los recursos necesarios para la provisión de Internet y que es la niña quien no desea viajar junto a su padre en las vacaciones debido al poco trato que tiene con el mismo no puede perderse de vista que conforme vaya pasando el tiempo el incumplimiento del régimen de relacionamiento y el hecho que las mismas se espacien cada vez más en el tiempo provocan un sentimiento de rechazo de la niña a irse con el progenitor no conviviente. Pero eso no quiere decir que la madre ante estos hechos deba presentar una actitud pasiva casi cómoda ya que es la misma quien debe doblegar esfuerzos para que se cumpla con el </w:t>
      </w:r>
      <w:r w:rsidR="00F0483D">
        <w:rPr>
          <w:lang w:val="es-ES_tradnl"/>
        </w:rPr>
        <w:lastRenderedPageBreak/>
        <w:t>régimen de relacionamiento o buscar otro tipo de mecanismos si el régimen de relacionamiento establecido judicialmente es de difícil cumplimiento. […] Por otra parte s</w:t>
      </w:r>
      <w:r w:rsidR="00451281">
        <w:rPr>
          <w:lang w:val="es-ES_tradnl"/>
        </w:rPr>
        <w:t>i</w:t>
      </w:r>
      <w:r w:rsidR="00F0483D">
        <w:rPr>
          <w:lang w:val="es-ES_tradnl"/>
        </w:rPr>
        <w:t xml:space="preserve"> bien no existe un procedimiento para ejecutar las sanciones a este tipo de juicio, el juez posee los estándares jurídicos para hacer </w:t>
      </w:r>
      <w:r w:rsidR="007F338C">
        <w:rPr>
          <w:lang w:val="es-ES_tradnl"/>
        </w:rPr>
        <w:t>efectiva</w:t>
      </w:r>
      <w:r w:rsidR="00F0483D">
        <w:rPr>
          <w:lang w:val="es-ES_tradnl"/>
        </w:rPr>
        <w:t xml:space="preserve"> dicha resolución, es decir, puede </w:t>
      </w:r>
      <w:r w:rsidR="007F338C">
        <w:rPr>
          <w:lang w:val="es-ES_tradnl"/>
        </w:rPr>
        <w:t>ceñirse</w:t>
      </w:r>
      <w:r w:rsidR="009D3C54">
        <w:rPr>
          <w:lang w:val="es-ES_tradnl"/>
        </w:rPr>
        <w:t xml:space="preserve"> a una serie de principio</w:t>
      </w:r>
      <w:r w:rsidR="00F0483D">
        <w:rPr>
          <w:lang w:val="es-ES_tradnl"/>
        </w:rPr>
        <w:t xml:space="preserve">s ya sean los sustantivos </w:t>
      </w:r>
      <w:r w:rsidR="007F338C">
        <w:rPr>
          <w:lang w:val="es-ES_tradnl"/>
        </w:rPr>
        <w:t>procesales</w:t>
      </w:r>
      <w:r w:rsidR="00F0483D">
        <w:rPr>
          <w:lang w:val="es-ES_tradnl"/>
        </w:rPr>
        <w:t>, a través de los cuales podrá hacer efectivo el cumplimiento o ejecución de la sentencia</w:t>
      </w:r>
      <w:r w:rsidR="00994E01" w:rsidRPr="008A2BE1">
        <w:rPr>
          <w:rStyle w:val="FootnoteReference"/>
          <w:szCs w:val="18"/>
          <w:lang w:val="es-ES_tradnl"/>
        </w:rPr>
        <w:footnoteReference w:id="12"/>
      </w:r>
      <w:r w:rsidR="00BA3453">
        <w:rPr>
          <w:lang w:val="es-ES_tradnl"/>
        </w:rPr>
        <w:t>.</w:t>
      </w:r>
    </w:p>
    <w:p w14:paraId="2ACAB5C1" w14:textId="5411AC2A" w:rsidR="00A531B1" w:rsidRPr="00A531B1" w:rsidRDefault="00476221" w:rsidP="00A531B1">
      <w:pPr>
        <w:pStyle w:val="SingleTxtG"/>
        <w:rPr>
          <w:lang w:val="es-ES_tradnl"/>
        </w:rPr>
      </w:pPr>
      <w:r>
        <w:rPr>
          <w:lang w:val="es-ES_tradnl"/>
        </w:rPr>
        <w:t>2.11</w:t>
      </w:r>
      <w:r w:rsidR="00F53805">
        <w:rPr>
          <w:lang w:val="es-ES_tradnl"/>
        </w:rPr>
        <w:tab/>
      </w:r>
      <w:r w:rsidR="00A531B1" w:rsidRPr="00A531B1">
        <w:rPr>
          <w:lang w:val="es-ES_tradnl"/>
        </w:rPr>
        <w:t>El autor señala que</w:t>
      </w:r>
      <w:r w:rsidR="00A92ECC">
        <w:rPr>
          <w:lang w:val="es-ES_tradnl"/>
        </w:rPr>
        <w:t>,</w:t>
      </w:r>
      <w:r w:rsidR="00A531B1" w:rsidRPr="00A531B1">
        <w:rPr>
          <w:lang w:val="es-ES_tradnl"/>
        </w:rPr>
        <w:t xml:space="preserve"> pese a todas </w:t>
      </w:r>
      <w:r w:rsidR="00A531B1">
        <w:rPr>
          <w:lang w:val="es-ES_tradnl"/>
        </w:rPr>
        <w:t>sus denuncias</w:t>
      </w:r>
      <w:r w:rsidR="00A531B1" w:rsidRPr="00A531B1">
        <w:rPr>
          <w:lang w:val="es-ES_tradnl"/>
        </w:rPr>
        <w:t xml:space="preserve">, el Estado parte no </w:t>
      </w:r>
      <w:r w:rsidR="00EF7519">
        <w:rPr>
          <w:lang w:val="es-ES_tradnl"/>
        </w:rPr>
        <w:t>adoptó</w:t>
      </w:r>
      <w:r w:rsidR="00A531B1">
        <w:rPr>
          <w:lang w:val="es-ES_tradnl"/>
        </w:rPr>
        <w:t xml:space="preserve"> </w:t>
      </w:r>
      <w:r w:rsidR="00A531B1" w:rsidRPr="00A531B1">
        <w:rPr>
          <w:lang w:val="es-ES_tradnl"/>
        </w:rPr>
        <w:t xml:space="preserve">ninguna medida para el cumplimiento de la sentencia y no </w:t>
      </w:r>
      <w:r w:rsidR="00EF7519">
        <w:rPr>
          <w:lang w:val="es-ES_tradnl"/>
        </w:rPr>
        <w:t xml:space="preserve">atendió </w:t>
      </w:r>
      <w:r w:rsidR="00A531B1" w:rsidRPr="00A531B1">
        <w:rPr>
          <w:lang w:val="es-ES_tradnl"/>
        </w:rPr>
        <w:t>sus solicitudes para garantizar su participación</w:t>
      </w:r>
      <w:r w:rsidR="00A92ECC">
        <w:rPr>
          <w:lang w:val="es-ES_tradnl"/>
        </w:rPr>
        <w:t>,</w:t>
      </w:r>
      <w:r w:rsidR="00A531B1" w:rsidRPr="00A531B1">
        <w:rPr>
          <w:lang w:val="es-ES_tradnl"/>
        </w:rPr>
        <w:t xml:space="preserve"> </w:t>
      </w:r>
      <w:r w:rsidR="00A92ECC">
        <w:rPr>
          <w:lang w:val="es-ES_tradnl"/>
        </w:rPr>
        <w:t>a través de videoconferencias,</w:t>
      </w:r>
      <w:r w:rsidR="00A92ECC" w:rsidRPr="00A531B1">
        <w:rPr>
          <w:lang w:val="es-ES_tradnl"/>
        </w:rPr>
        <w:t xml:space="preserve"> </w:t>
      </w:r>
      <w:r w:rsidR="00A531B1" w:rsidRPr="00A531B1">
        <w:rPr>
          <w:lang w:val="es-ES_tradnl"/>
        </w:rPr>
        <w:t>en los procesos</w:t>
      </w:r>
      <w:r w:rsidR="00EF7519">
        <w:rPr>
          <w:lang w:val="es-ES_tradnl"/>
        </w:rPr>
        <w:t xml:space="preserve"> judiciales</w:t>
      </w:r>
      <w:r w:rsidR="00A531B1" w:rsidRPr="00A531B1">
        <w:rPr>
          <w:lang w:val="es-ES_tradnl"/>
        </w:rPr>
        <w:t xml:space="preserve"> llev</w:t>
      </w:r>
      <w:r w:rsidR="00BA3453">
        <w:rPr>
          <w:lang w:val="es-ES_tradnl"/>
        </w:rPr>
        <w:t>ados a cabo en el Estado parte.</w:t>
      </w:r>
    </w:p>
    <w:p w14:paraId="3DAB88D3" w14:textId="705287D0" w:rsidR="00DD0E30" w:rsidRDefault="00476221" w:rsidP="00A92ECC">
      <w:pPr>
        <w:pStyle w:val="SingleTxtG"/>
        <w:rPr>
          <w:lang w:val="es-ES_tradnl"/>
        </w:rPr>
      </w:pPr>
      <w:r>
        <w:rPr>
          <w:lang w:val="es-ES_tradnl"/>
        </w:rPr>
        <w:t>2.12</w:t>
      </w:r>
      <w:r w:rsidR="00F53805">
        <w:rPr>
          <w:lang w:val="es-ES_tradnl"/>
        </w:rPr>
        <w:tab/>
      </w:r>
      <w:r w:rsidR="00A531B1" w:rsidRPr="00A531B1">
        <w:rPr>
          <w:lang w:val="es-ES_tradnl"/>
        </w:rPr>
        <w:t>El autor explica que las autoridades del Estado parte tampoco tomaron en cuenta las numerosas solicitudes realizadas al Colegio San José para permitir el relacionamiento con su hija, las denuncias por el incumplimiento del régimen de llamadas</w:t>
      </w:r>
      <w:r w:rsidR="00A92ECC">
        <w:rPr>
          <w:lang w:val="es-ES_tradnl"/>
        </w:rPr>
        <w:t>,</w:t>
      </w:r>
      <w:r w:rsidR="00A531B1" w:rsidRPr="00A531B1">
        <w:rPr>
          <w:lang w:val="es-ES_tradnl"/>
        </w:rPr>
        <w:t xml:space="preserve"> ni tampoco tomaron ninguna determinación con respecto al informe de la </w:t>
      </w:r>
      <w:r w:rsidR="00346847">
        <w:rPr>
          <w:lang w:val="es-ES_tradnl"/>
        </w:rPr>
        <w:t>t</w:t>
      </w:r>
      <w:r w:rsidR="00A531B1" w:rsidRPr="00A531B1">
        <w:rPr>
          <w:lang w:val="es-ES_tradnl"/>
        </w:rPr>
        <w:t xml:space="preserve">rabajadora </w:t>
      </w:r>
      <w:r w:rsidR="00346847">
        <w:rPr>
          <w:lang w:val="es-ES_tradnl"/>
        </w:rPr>
        <w:t>s</w:t>
      </w:r>
      <w:r w:rsidR="00A531B1" w:rsidRPr="00A531B1">
        <w:rPr>
          <w:lang w:val="es-ES_tradnl"/>
        </w:rPr>
        <w:t>ocial para ejecutar la sentencia.</w:t>
      </w:r>
    </w:p>
    <w:p w14:paraId="78ACED14" w14:textId="293126A8" w:rsidR="00C1442D" w:rsidRPr="005D5092" w:rsidRDefault="00C1442D" w:rsidP="00C1442D">
      <w:pPr>
        <w:pStyle w:val="H23G"/>
        <w:rPr>
          <w:lang w:val="es-ES_tradnl"/>
        </w:rPr>
      </w:pPr>
      <w:r>
        <w:rPr>
          <w:lang w:val="es-ES_tradnl"/>
        </w:rPr>
        <w:tab/>
      </w:r>
      <w:r>
        <w:rPr>
          <w:lang w:val="es-ES_tradnl"/>
        </w:rPr>
        <w:tab/>
      </w:r>
      <w:r w:rsidR="00642D73">
        <w:rPr>
          <w:lang w:val="es-ES_tradnl"/>
        </w:rPr>
        <w:t>La q</w:t>
      </w:r>
      <w:r w:rsidRPr="007A6C64">
        <w:rPr>
          <w:lang w:val="es-ES_tradnl"/>
        </w:rPr>
        <w:t>ueja</w:t>
      </w:r>
    </w:p>
    <w:p w14:paraId="1D0FFDB9" w14:textId="2C52973C" w:rsidR="009145C2" w:rsidRDefault="00476221" w:rsidP="003178F4">
      <w:pPr>
        <w:pStyle w:val="SingleTxtG"/>
        <w:rPr>
          <w:lang w:val="es-ES_tradnl"/>
        </w:rPr>
      </w:pPr>
      <w:r>
        <w:rPr>
          <w:lang w:val="es-ES_tradnl"/>
        </w:rPr>
        <w:t>3.1</w:t>
      </w:r>
      <w:r w:rsidR="00F53805">
        <w:rPr>
          <w:lang w:val="es-ES_tradnl"/>
        </w:rPr>
        <w:tab/>
      </w:r>
      <w:r w:rsidR="009A0238" w:rsidRPr="009A0238">
        <w:rPr>
          <w:lang w:val="es-ES_tradnl"/>
        </w:rPr>
        <w:t xml:space="preserve">El autor alega </w:t>
      </w:r>
      <w:r w:rsidR="009145C2">
        <w:rPr>
          <w:lang w:val="es-ES_tradnl"/>
        </w:rPr>
        <w:t xml:space="preserve">que las autoridades del Estado parte </w:t>
      </w:r>
      <w:r w:rsidR="009145C2" w:rsidRPr="009145C2">
        <w:rPr>
          <w:lang w:val="es-ES_tradnl"/>
        </w:rPr>
        <w:t xml:space="preserve">no </w:t>
      </w:r>
      <w:r w:rsidR="009145C2">
        <w:rPr>
          <w:lang w:val="es-ES_tradnl"/>
        </w:rPr>
        <w:t>tomaron</w:t>
      </w:r>
      <w:r w:rsidR="009145C2" w:rsidRPr="009145C2">
        <w:rPr>
          <w:lang w:val="es-ES_tradnl"/>
        </w:rPr>
        <w:t xml:space="preserve"> en cuenta el interés superior </w:t>
      </w:r>
      <w:r w:rsidR="00D42B4C">
        <w:rPr>
          <w:lang w:val="es-ES_tradnl"/>
        </w:rPr>
        <w:t>del niño</w:t>
      </w:r>
      <w:r w:rsidR="009145C2" w:rsidRPr="009145C2">
        <w:rPr>
          <w:lang w:val="es-ES_tradnl"/>
        </w:rPr>
        <w:t xml:space="preserve"> reconocido en el artículo 3 de la Convención</w:t>
      </w:r>
      <w:r w:rsidR="007C6D1D">
        <w:rPr>
          <w:lang w:val="es-ES_tradnl"/>
        </w:rPr>
        <w:t>, al no haber</w:t>
      </w:r>
      <w:r w:rsidR="007C6D1D" w:rsidRPr="007C6D1D">
        <w:rPr>
          <w:lang w:val="es-ES_tradnl"/>
        </w:rPr>
        <w:t xml:space="preserve"> adoptado ninguna medida para </w:t>
      </w:r>
      <w:r w:rsidR="007C6D1D">
        <w:rPr>
          <w:lang w:val="es-ES_tradnl"/>
        </w:rPr>
        <w:t xml:space="preserve">asegurar </w:t>
      </w:r>
      <w:r w:rsidR="007C6D1D" w:rsidRPr="007C6D1D">
        <w:rPr>
          <w:lang w:val="es-ES_tradnl"/>
        </w:rPr>
        <w:t xml:space="preserve">el cumplimiento de la sentencia </w:t>
      </w:r>
      <w:r w:rsidR="007C6D1D">
        <w:rPr>
          <w:lang w:val="es-ES_tradnl"/>
        </w:rPr>
        <w:t>que regula el relacionamiento con su hija</w:t>
      </w:r>
      <w:r w:rsidR="009145C2" w:rsidRPr="009145C2">
        <w:rPr>
          <w:lang w:val="es-ES_tradnl"/>
        </w:rPr>
        <w:t>.</w:t>
      </w:r>
      <w:r w:rsidR="000A3458">
        <w:rPr>
          <w:lang w:val="es-ES_tradnl"/>
        </w:rPr>
        <w:t xml:space="preserve"> Señala que el relacionamiento de la niña con su padre y su familia paterna es de esencial importancia para su desarrollo. S</w:t>
      </w:r>
      <w:r w:rsidR="0094453A">
        <w:rPr>
          <w:lang w:val="es-ES_tradnl"/>
        </w:rPr>
        <w:t xml:space="preserve">e refiere a </w:t>
      </w:r>
      <w:r w:rsidR="0094453A" w:rsidRPr="00B078F2">
        <w:rPr>
          <w:lang w:val="es-ES_tradnl"/>
        </w:rPr>
        <w:t xml:space="preserve">jurisprudencia argentina </w:t>
      </w:r>
      <w:r w:rsidR="00BC36A6" w:rsidRPr="00B078F2">
        <w:rPr>
          <w:lang w:val="es-ES_tradnl"/>
        </w:rPr>
        <w:t>co</w:t>
      </w:r>
      <w:r w:rsidR="0094453A" w:rsidRPr="00B078F2">
        <w:rPr>
          <w:lang w:val="es-ES_tradnl"/>
        </w:rPr>
        <w:t xml:space="preserve">n relación al régimen de visitas para apoyar su argumentación según la cual conforme a la Convención, debe atenderse prioritariamente a los intereses superiores de aquel. Así, a los efectos de resolver </w:t>
      </w:r>
      <w:r w:rsidR="00B078F2" w:rsidRPr="00AC0BD3">
        <w:rPr>
          <w:lang w:val="es-ES_tradnl"/>
        </w:rPr>
        <w:t xml:space="preserve">un </w:t>
      </w:r>
      <w:r w:rsidR="0094453A" w:rsidRPr="00B078F2">
        <w:rPr>
          <w:lang w:val="es-ES_tradnl"/>
        </w:rPr>
        <w:t>incidente de régimen de visitas del menor cuyos padres separados de hecho residen en distintos Estados, la tutela de su derecho a mantener relaciones personales y contacto directo con ambos de modo regular, debe prevalecer como factor primordial en toda relación judicial</w:t>
      </w:r>
      <w:r w:rsidR="00994E01" w:rsidRPr="008A2BE1">
        <w:rPr>
          <w:rStyle w:val="FootnoteReference"/>
          <w:szCs w:val="18"/>
          <w:lang w:val="es-ES_tradnl"/>
        </w:rPr>
        <w:footnoteReference w:id="13"/>
      </w:r>
      <w:r w:rsidR="0094453A" w:rsidRPr="00B078F2">
        <w:rPr>
          <w:lang w:val="es-ES_tradnl"/>
        </w:rPr>
        <w:t>.</w:t>
      </w:r>
    </w:p>
    <w:p w14:paraId="09855397" w14:textId="49737066" w:rsidR="000D551C" w:rsidRDefault="00476221" w:rsidP="003178F4">
      <w:pPr>
        <w:pStyle w:val="SingleTxtG"/>
        <w:rPr>
          <w:lang w:val="es-ES_tradnl"/>
        </w:rPr>
      </w:pPr>
      <w:r>
        <w:rPr>
          <w:lang w:val="es-ES_tradnl"/>
        </w:rPr>
        <w:t>3.2</w:t>
      </w:r>
      <w:r w:rsidR="00F53805">
        <w:rPr>
          <w:lang w:val="es-ES_tradnl"/>
        </w:rPr>
        <w:tab/>
      </w:r>
      <w:r w:rsidR="007C6D1D" w:rsidRPr="007C6D1D">
        <w:rPr>
          <w:lang w:val="es-ES_tradnl"/>
        </w:rPr>
        <w:t>Señala que el procedimiento en la materia de ejecución de sentencias de régimen de relacionamiento no está expresamente previsto en</w:t>
      </w:r>
      <w:r w:rsidR="00D42B4C">
        <w:rPr>
          <w:lang w:val="es-ES_tradnl"/>
        </w:rPr>
        <w:t xml:space="preserve"> el Código de la Niñez y la Adolescencia</w:t>
      </w:r>
      <w:r w:rsidR="007C6D1D" w:rsidRPr="007C6D1D">
        <w:rPr>
          <w:lang w:val="es-ES_tradnl"/>
        </w:rPr>
        <w:t xml:space="preserve"> </w:t>
      </w:r>
      <w:r w:rsidR="00D42B4C">
        <w:rPr>
          <w:lang w:val="es-ES_tradnl"/>
        </w:rPr>
        <w:t>(</w:t>
      </w:r>
      <w:r w:rsidR="00600973">
        <w:rPr>
          <w:lang w:val="es-ES_tradnl"/>
        </w:rPr>
        <w:t>L</w:t>
      </w:r>
      <w:r w:rsidR="007C6D1D" w:rsidRPr="007C6D1D">
        <w:rPr>
          <w:lang w:val="es-ES_tradnl"/>
        </w:rPr>
        <w:t>ey 1680/2001</w:t>
      </w:r>
      <w:r w:rsidR="00D42B4C">
        <w:rPr>
          <w:lang w:val="es-ES_tradnl"/>
        </w:rPr>
        <w:t>)</w:t>
      </w:r>
      <w:r w:rsidR="007C6D1D" w:rsidRPr="007C6D1D">
        <w:rPr>
          <w:lang w:val="es-ES_tradnl"/>
        </w:rPr>
        <w:t>. El autor se refiere a</w:t>
      </w:r>
      <w:r w:rsidR="00AB079E">
        <w:rPr>
          <w:lang w:val="es-ES_tradnl"/>
        </w:rPr>
        <w:t xml:space="preserve">l caso </w:t>
      </w:r>
      <w:r w:rsidR="007C6D1D" w:rsidRPr="000D551C">
        <w:rPr>
          <w:i/>
          <w:lang w:val="es-ES_tradnl"/>
        </w:rPr>
        <w:t>Strumia c. Itali</w:t>
      </w:r>
      <w:r w:rsidR="00B35856">
        <w:rPr>
          <w:i/>
          <w:lang w:val="es-ES_tradnl"/>
        </w:rPr>
        <w:t>e</w:t>
      </w:r>
      <w:r w:rsidR="007C6D1D" w:rsidRPr="007C6D1D">
        <w:rPr>
          <w:lang w:val="es-ES_tradnl"/>
        </w:rPr>
        <w:t xml:space="preserve"> del </w:t>
      </w:r>
      <w:r w:rsidR="00600973">
        <w:rPr>
          <w:lang w:val="es-ES_tradnl"/>
        </w:rPr>
        <w:t>T</w:t>
      </w:r>
      <w:r w:rsidR="007C6D1D" w:rsidRPr="007C6D1D">
        <w:rPr>
          <w:lang w:val="es-ES_tradnl"/>
        </w:rPr>
        <w:t xml:space="preserve">ribunal </w:t>
      </w:r>
      <w:r w:rsidR="00600973">
        <w:rPr>
          <w:lang w:val="es-ES_tradnl"/>
        </w:rPr>
        <w:t>E</w:t>
      </w:r>
      <w:r w:rsidR="007C6D1D" w:rsidRPr="007C6D1D">
        <w:rPr>
          <w:lang w:val="es-ES_tradnl"/>
        </w:rPr>
        <w:t xml:space="preserve">uropeo de </w:t>
      </w:r>
      <w:r w:rsidR="00600973">
        <w:rPr>
          <w:lang w:val="es-ES_tradnl"/>
        </w:rPr>
        <w:t>D</w:t>
      </w:r>
      <w:r w:rsidR="007C6D1D" w:rsidRPr="007C6D1D">
        <w:rPr>
          <w:lang w:val="es-ES_tradnl"/>
        </w:rPr>
        <w:t xml:space="preserve">erechos </w:t>
      </w:r>
      <w:r w:rsidR="00600973">
        <w:rPr>
          <w:lang w:val="es-ES_tradnl"/>
        </w:rPr>
        <w:t>H</w:t>
      </w:r>
      <w:r w:rsidR="007C6D1D" w:rsidRPr="007C6D1D">
        <w:rPr>
          <w:lang w:val="es-ES_tradnl"/>
        </w:rPr>
        <w:t xml:space="preserve">umanos, en </w:t>
      </w:r>
      <w:r w:rsidR="00661033">
        <w:rPr>
          <w:lang w:val="es-ES_tradnl"/>
        </w:rPr>
        <w:t>e</w:t>
      </w:r>
      <w:r w:rsidR="007C6D1D" w:rsidRPr="007C6D1D">
        <w:rPr>
          <w:lang w:val="es-ES_tradnl"/>
        </w:rPr>
        <w:t xml:space="preserve">l que el </w:t>
      </w:r>
      <w:r w:rsidR="00600973">
        <w:rPr>
          <w:lang w:val="es-ES_tradnl"/>
        </w:rPr>
        <w:t>T</w:t>
      </w:r>
      <w:r w:rsidR="007C6D1D" w:rsidRPr="007C6D1D">
        <w:rPr>
          <w:lang w:val="es-ES_tradnl"/>
        </w:rPr>
        <w:t>ribunal sancionó al Estado parte por no haber adoptado las medidas necesarias para el relacionamiento de un padre con su hija pese a la existencia de una resolución judicial que disponía tal medida, violando el interés superior del niño</w:t>
      </w:r>
      <w:r w:rsidR="00994E01" w:rsidRPr="008A2BE1">
        <w:rPr>
          <w:rStyle w:val="FootnoteReference"/>
          <w:szCs w:val="18"/>
          <w:lang w:val="es-ES_tradnl"/>
        </w:rPr>
        <w:footnoteReference w:id="14"/>
      </w:r>
      <w:r w:rsidR="007C6D1D" w:rsidRPr="007C6D1D">
        <w:rPr>
          <w:lang w:val="es-ES_tradnl"/>
        </w:rPr>
        <w:t xml:space="preserve">. El autor también se refiere a </w:t>
      </w:r>
      <w:r w:rsidR="007C6D1D" w:rsidRPr="000D551C">
        <w:rPr>
          <w:i/>
          <w:lang w:val="es-ES_tradnl"/>
        </w:rPr>
        <w:t>Giorgioni c. Itali</w:t>
      </w:r>
      <w:r w:rsidR="00960D51">
        <w:rPr>
          <w:i/>
          <w:lang w:val="es-ES_tradnl"/>
        </w:rPr>
        <w:t>e</w:t>
      </w:r>
      <w:r w:rsidR="007C6D1D" w:rsidRPr="007C6D1D">
        <w:rPr>
          <w:lang w:val="es-ES_tradnl"/>
        </w:rPr>
        <w:t xml:space="preserve">, </w:t>
      </w:r>
      <w:r w:rsidR="00661033">
        <w:rPr>
          <w:lang w:val="es-ES_tradnl"/>
        </w:rPr>
        <w:t xml:space="preserve">caso en el que </w:t>
      </w:r>
      <w:r w:rsidR="007C6D1D" w:rsidRPr="007C6D1D">
        <w:rPr>
          <w:lang w:val="es-ES_tradnl"/>
        </w:rPr>
        <w:t xml:space="preserve">el </w:t>
      </w:r>
      <w:r w:rsidR="00B21954">
        <w:rPr>
          <w:lang w:val="es-ES_tradnl"/>
        </w:rPr>
        <w:t>T</w:t>
      </w:r>
      <w:r w:rsidR="007C6D1D" w:rsidRPr="007C6D1D">
        <w:rPr>
          <w:lang w:val="es-ES_tradnl"/>
        </w:rPr>
        <w:t>ribunal encontró una violación del derecho a la vida de familia</w:t>
      </w:r>
      <w:r w:rsidR="00994E01" w:rsidRPr="008A2BE1">
        <w:rPr>
          <w:rStyle w:val="FootnoteReference"/>
          <w:szCs w:val="18"/>
          <w:lang w:val="es-ES_tradnl"/>
        </w:rPr>
        <w:footnoteReference w:id="15"/>
      </w:r>
      <w:r w:rsidR="007C6D1D" w:rsidRPr="007C6D1D">
        <w:rPr>
          <w:lang w:val="es-ES_tradnl"/>
        </w:rPr>
        <w:t xml:space="preserve">. </w:t>
      </w:r>
      <w:r w:rsidR="000D551C">
        <w:rPr>
          <w:lang w:val="es-ES_tradnl"/>
        </w:rPr>
        <w:t>Finalmente,</w:t>
      </w:r>
      <w:r w:rsidR="007C6D1D" w:rsidRPr="007C6D1D">
        <w:rPr>
          <w:lang w:val="es-ES_tradnl"/>
        </w:rPr>
        <w:t xml:space="preserve"> se refiere a </w:t>
      </w:r>
      <w:r w:rsidR="007C6D1D" w:rsidRPr="000D551C">
        <w:rPr>
          <w:i/>
          <w:lang w:val="es-ES_tradnl"/>
        </w:rPr>
        <w:t>S.B.S., M.V. y otro</w:t>
      </w:r>
      <w:r w:rsidR="007C6D1D" w:rsidRPr="007C6D1D">
        <w:rPr>
          <w:lang w:val="es-ES_tradnl"/>
        </w:rPr>
        <w:t xml:space="preserve"> del 28 de abril de 2014 en la que el </w:t>
      </w:r>
      <w:r w:rsidR="000D551C">
        <w:rPr>
          <w:lang w:val="es-ES_tradnl"/>
        </w:rPr>
        <w:t>T</w:t>
      </w:r>
      <w:r w:rsidR="000D551C" w:rsidRPr="007C6D1D">
        <w:rPr>
          <w:lang w:val="es-ES_tradnl"/>
        </w:rPr>
        <w:t xml:space="preserve">ribunal de </w:t>
      </w:r>
      <w:r w:rsidR="000D551C">
        <w:rPr>
          <w:lang w:val="es-ES_tradnl"/>
        </w:rPr>
        <w:t>A</w:t>
      </w:r>
      <w:r w:rsidR="000D551C" w:rsidRPr="007C6D1D">
        <w:rPr>
          <w:lang w:val="es-ES_tradnl"/>
        </w:rPr>
        <w:t>pelaci</w:t>
      </w:r>
      <w:r w:rsidR="000D551C">
        <w:rPr>
          <w:lang w:val="es-ES_tradnl"/>
        </w:rPr>
        <w:t>ón</w:t>
      </w:r>
      <w:r w:rsidR="000D551C" w:rsidRPr="007C6D1D">
        <w:rPr>
          <w:lang w:val="es-ES_tradnl"/>
        </w:rPr>
        <w:t xml:space="preserve"> de la </w:t>
      </w:r>
      <w:r w:rsidR="000D551C">
        <w:rPr>
          <w:lang w:val="es-ES_tradnl"/>
        </w:rPr>
        <w:t>N</w:t>
      </w:r>
      <w:r w:rsidR="000D551C" w:rsidRPr="007C6D1D">
        <w:rPr>
          <w:lang w:val="es-ES_tradnl"/>
        </w:rPr>
        <w:t xml:space="preserve">iñez y la </w:t>
      </w:r>
      <w:r w:rsidR="000D551C">
        <w:rPr>
          <w:lang w:val="es-ES_tradnl"/>
        </w:rPr>
        <w:t>A</w:t>
      </w:r>
      <w:r w:rsidR="000D551C" w:rsidRPr="007C6D1D">
        <w:rPr>
          <w:lang w:val="es-ES_tradnl"/>
        </w:rPr>
        <w:t xml:space="preserve">dolescencia de Asunción </w:t>
      </w:r>
      <w:r w:rsidR="000D551C">
        <w:rPr>
          <w:lang w:val="es-ES_tradnl"/>
        </w:rPr>
        <w:t>s</w:t>
      </w:r>
      <w:r w:rsidR="007C6D1D" w:rsidRPr="007C6D1D">
        <w:rPr>
          <w:lang w:val="es-ES_tradnl"/>
        </w:rPr>
        <w:t>ostuvo que el derecho-deber del progenitor que no ejerce legalmente la tenencia de mantener adecuada comunicación con el hijo y de supervisar su educación, en los casos de separación o divorcio, debe ser adecuadamente valorada para que no se constituya en una fuente de situaciones conflictivas que terminarían por perjudicar gravemente la formación personal del hijo, todo ello de conformidad a lo dispuesto por la Convención</w:t>
      </w:r>
      <w:r>
        <w:rPr>
          <w:lang w:val="es-ES_tradnl"/>
        </w:rPr>
        <w:t>, en su artículo 9</w:t>
      </w:r>
      <w:r w:rsidR="00582FE9">
        <w:rPr>
          <w:lang w:val="es-ES_tradnl"/>
        </w:rPr>
        <w:t xml:space="preserve">, párrafo </w:t>
      </w:r>
      <w:r>
        <w:rPr>
          <w:lang w:val="es-ES_tradnl"/>
        </w:rPr>
        <w:t>3.</w:t>
      </w:r>
    </w:p>
    <w:p w14:paraId="5AE46FDE" w14:textId="77777777" w:rsidR="000C2A57" w:rsidRDefault="000C2A57" w:rsidP="003178F4">
      <w:pPr>
        <w:pStyle w:val="SingleTxtG"/>
        <w:rPr>
          <w:lang w:val="es-ES_tradnl"/>
        </w:rPr>
      </w:pPr>
      <w:r>
        <w:rPr>
          <w:lang w:val="es-ES_tradnl"/>
        </w:rPr>
        <w:t>3.</w:t>
      </w:r>
      <w:r w:rsidR="000D551C">
        <w:rPr>
          <w:lang w:val="es-ES_tradnl"/>
        </w:rPr>
        <w:t>3</w:t>
      </w:r>
      <w:r w:rsidR="00F53805">
        <w:rPr>
          <w:lang w:val="es-ES_tradnl"/>
        </w:rPr>
        <w:tab/>
      </w:r>
      <w:r>
        <w:rPr>
          <w:lang w:val="es-ES_tradnl"/>
        </w:rPr>
        <w:t xml:space="preserve">El autor alega también que el Estado parte ha violado el artículo 4 de la Convención puesto que, a pesar de la existencia de una sentencia judicial y de normas legales que favorecen el relacionamiento, las autoridades judiciales </w:t>
      </w:r>
      <w:r w:rsidR="003D3304">
        <w:rPr>
          <w:lang w:val="es-ES_tradnl"/>
        </w:rPr>
        <w:t>del Estado parte</w:t>
      </w:r>
      <w:r>
        <w:rPr>
          <w:lang w:val="es-ES_tradnl"/>
        </w:rPr>
        <w:t xml:space="preserve"> no han adoptado las medidas necesarias para dar efectividad a los derechos de su hija reconocidos en la Convención. </w:t>
      </w:r>
    </w:p>
    <w:p w14:paraId="08A47157" w14:textId="67381BC4" w:rsidR="005E3E55" w:rsidRDefault="005E3E55" w:rsidP="003178F4">
      <w:pPr>
        <w:pStyle w:val="SingleTxtG"/>
        <w:rPr>
          <w:lang w:val="es-ES_tradnl"/>
        </w:rPr>
      </w:pPr>
      <w:r w:rsidRPr="00F56712">
        <w:rPr>
          <w:lang w:val="es-ES_tradnl"/>
        </w:rPr>
        <w:lastRenderedPageBreak/>
        <w:t>3.</w:t>
      </w:r>
      <w:r w:rsidR="00EA3D8F" w:rsidRPr="00F56712">
        <w:rPr>
          <w:lang w:val="es-ES_tradnl"/>
        </w:rPr>
        <w:t>4</w:t>
      </w:r>
      <w:r w:rsidR="00F53805">
        <w:rPr>
          <w:lang w:val="es-ES_tradnl"/>
        </w:rPr>
        <w:tab/>
      </w:r>
      <w:r w:rsidRPr="00F56712">
        <w:rPr>
          <w:lang w:val="es-ES_tradnl"/>
        </w:rPr>
        <w:t>El autor alega asimismo que el Estado parte ha violado el artículo 5 de la Convención</w:t>
      </w:r>
      <w:r>
        <w:rPr>
          <w:lang w:val="es-ES_tradnl"/>
        </w:rPr>
        <w:t xml:space="preserve"> puesto que fue demandado </w:t>
      </w:r>
      <w:r w:rsidR="00E177CD">
        <w:rPr>
          <w:lang w:val="es-ES_tradnl"/>
        </w:rPr>
        <w:t>“</w:t>
      </w:r>
      <w:r>
        <w:rPr>
          <w:lang w:val="es-ES_tradnl"/>
        </w:rPr>
        <w:t>por alimentos</w:t>
      </w:r>
      <w:r w:rsidR="00E177CD">
        <w:rPr>
          <w:lang w:val="es-ES_tradnl"/>
        </w:rPr>
        <w:t>”</w:t>
      </w:r>
      <w:r>
        <w:rPr>
          <w:lang w:val="es-ES_tradnl"/>
        </w:rPr>
        <w:t>, y</w:t>
      </w:r>
      <w:r w:rsidR="00F56712">
        <w:rPr>
          <w:lang w:val="es-ES_tradnl"/>
        </w:rPr>
        <w:t xml:space="preserve"> porque la negación de relacionamiento con su hija </w:t>
      </w:r>
      <w:r w:rsidR="00BC5804">
        <w:rPr>
          <w:lang w:val="es-ES_tradnl"/>
        </w:rPr>
        <w:t>esta</w:t>
      </w:r>
      <w:r w:rsidR="00F56712">
        <w:rPr>
          <w:lang w:val="es-ES_tradnl"/>
        </w:rPr>
        <w:t xml:space="preserve">ría únicamente relacionada con el hecho de que la madre haya considerado que el monto abonado no </w:t>
      </w:r>
      <w:r w:rsidR="00BC5804">
        <w:rPr>
          <w:lang w:val="es-ES_tradnl"/>
        </w:rPr>
        <w:t xml:space="preserve">era </w:t>
      </w:r>
      <w:r w:rsidR="00F56712">
        <w:rPr>
          <w:lang w:val="es-ES_tradnl"/>
        </w:rPr>
        <w:t>suficiente</w:t>
      </w:r>
      <w:r w:rsidR="004175A1">
        <w:rPr>
          <w:lang w:val="es-ES_tradnl"/>
        </w:rPr>
        <w:t xml:space="preserve">. </w:t>
      </w:r>
      <w:r>
        <w:rPr>
          <w:lang w:val="es-ES_tradnl"/>
        </w:rPr>
        <w:t xml:space="preserve">Sin embargo, </w:t>
      </w:r>
      <w:r w:rsidR="00F56712">
        <w:rPr>
          <w:lang w:val="es-ES_tradnl"/>
        </w:rPr>
        <w:t xml:space="preserve">el autor alega que </w:t>
      </w:r>
      <w:r>
        <w:rPr>
          <w:lang w:val="es-ES_tradnl"/>
        </w:rPr>
        <w:t xml:space="preserve">el monto equivale a un importante porcentaje </w:t>
      </w:r>
      <w:r w:rsidR="00F56712">
        <w:rPr>
          <w:lang w:val="es-ES_tradnl"/>
        </w:rPr>
        <w:t xml:space="preserve">de su </w:t>
      </w:r>
      <w:r>
        <w:rPr>
          <w:lang w:val="es-ES_tradnl"/>
        </w:rPr>
        <w:t>salario. El autor señala que el juicio de primera instancia al respecto dur</w:t>
      </w:r>
      <w:r w:rsidR="003D3304">
        <w:rPr>
          <w:lang w:val="es-ES_tradnl"/>
        </w:rPr>
        <w:t>ó</w:t>
      </w:r>
      <w:r>
        <w:rPr>
          <w:lang w:val="es-ES_tradnl"/>
        </w:rPr>
        <w:t xml:space="preserve"> dos años, y al final tuvo que duplicar el monto de alimentos con efecto retroactivo. </w:t>
      </w:r>
      <w:r w:rsidR="001C0BBB">
        <w:rPr>
          <w:lang w:val="es-ES_tradnl"/>
        </w:rPr>
        <w:t>S</w:t>
      </w:r>
      <w:r>
        <w:rPr>
          <w:lang w:val="es-ES_tradnl"/>
        </w:rPr>
        <w:t xml:space="preserve">ostiene </w:t>
      </w:r>
      <w:r w:rsidR="00FB2DBE">
        <w:rPr>
          <w:lang w:val="es-ES_tradnl"/>
        </w:rPr>
        <w:t xml:space="preserve">que </w:t>
      </w:r>
      <w:r>
        <w:rPr>
          <w:lang w:val="es-ES_tradnl"/>
        </w:rPr>
        <w:t xml:space="preserve">no </w:t>
      </w:r>
      <w:r w:rsidR="00F56712">
        <w:rPr>
          <w:lang w:val="es-ES_tradnl"/>
        </w:rPr>
        <w:t xml:space="preserve">se le </w:t>
      </w:r>
      <w:r>
        <w:rPr>
          <w:lang w:val="es-ES_tradnl"/>
        </w:rPr>
        <w:t>debería imponer que renuncie al relacionamiento</w:t>
      </w:r>
      <w:r w:rsidR="00FB2DBE">
        <w:rPr>
          <w:lang w:val="es-ES_tradnl"/>
        </w:rPr>
        <w:t xml:space="preserve"> con su hija</w:t>
      </w:r>
      <w:r>
        <w:rPr>
          <w:lang w:val="es-ES_tradnl"/>
        </w:rPr>
        <w:t xml:space="preserve"> con el fin de brindar mayor apoyo económico </w:t>
      </w:r>
      <w:r w:rsidR="00FB2DBE">
        <w:rPr>
          <w:lang w:val="es-ES_tradnl"/>
        </w:rPr>
        <w:t xml:space="preserve">y que </w:t>
      </w:r>
      <w:r>
        <w:rPr>
          <w:lang w:val="es-ES_tradnl"/>
        </w:rPr>
        <w:t>aumentar la asistencia económica está fuera de sus posibilidades debido a la difícil crisis que atraviesa el Estado argentino</w:t>
      </w:r>
      <w:r w:rsidR="00BC5804">
        <w:rPr>
          <w:lang w:val="es-ES_tradnl"/>
        </w:rPr>
        <w:t>,</w:t>
      </w:r>
      <w:r>
        <w:rPr>
          <w:lang w:val="es-ES_tradnl"/>
        </w:rPr>
        <w:t xml:space="preserve"> que es su empleador. </w:t>
      </w:r>
    </w:p>
    <w:p w14:paraId="279CDA58" w14:textId="1D7965ED" w:rsidR="009F0AA9" w:rsidRDefault="009F0AA9" w:rsidP="003178F4">
      <w:pPr>
        <w:pStyle w:val="SingleTxtG"/>
        <w:rPr>
          <w:lang w:val="es-ES_tradnl"/>
        </w:rPr>
      </w:pPr>
      <w:r>
        <w:rPr>
          <w:lang w:val="es-ES_tradnl"/>
        </w:rPr>
        <w:t>3.</w:t>
      </w:r>
      <w:r w:rsidR="00EA3D8F">
        <w:rPr>
          <w:lang w:val="es-ES_tradnl"/>
        </w:rPr>
        <w:t>5</w:t>
      </w:r>
      <w:r w:rsidR="00F53805">
        <w:rPr>
          <w:lang w:val="es-ES_tradnl"/>
        </w:rPr>
        <w:tab/>
      </w:r>
      <w:r>
        <w:rPr>
          <w:lang w:val="es-ES_tradnl"/>
        </w:rPr>
        <w:t>El autor alega también que el Estado parte ha violado el artículo 9</w:t>
      </w:r>
      <w:r w:rsidR="006F2605">
        <w:rPr>
          <w:lang w:val="es-ES_tradnl"/>
        </w:rPr>
        <w:t xml:space="preserve">, párrafo </w:t>
      </w:r>
      <w:r>
        <w:rPr>
          <w:lang w:val="es-ES_tradnl"/>
        </w:rPr>
        <w:t>3</w:t>
      </w:r>
      <w:r w:rsidR="006F2605">
        <w:rPr>
          <w:lang w:val="es-ES_tradnl"/>
        </w:rPr>
        <w:t>,</w:t>
      </w:r>
      <w:r>
        <w:rPr>
          <w:lang w:val="es-ES_tradnl"/>
        </w:rPr>
        <w:t xml:space="preserve"> de la Convención, según el cual los Estados deben respetar el derecho del niño que est</w:t>
      </w:r>
      <w:r w:rsidR="00603EAD">
        <w:rPr>
          <w:lang w:val="es-ES_tradnl"/>
        </w:rPr>
        <w:t>é</w:t>
      </w:r>
      <w:r>
        <w:rPr>
          <w:lang w:val="es-ES_tradnl"/>
        </w:rPr>
        <w:t xml:space="preserve"> separado de uno o ambos padres a mantener relaciones personales y contacto directo con ambos padres de modo regular. El autor se refiere a un fallo </w:t>
      </w:r>
      <w:r w:rsidR="00BD2A5F">
        <w:rPr>
          <w:lang w:val="es-ES_tradnl"/>
        </w:rPr>
        <w:t xml:space="preserve">de la justicia </w:t>
      </w:r>
      <w:r>
        <w:rPr>
          <w:lang w:val="es-ES_tradnl"/>
        </w:rPr>
        <w:t>argentin</w:t>
      </w:r>
      <w:r w:rsidR="00BD2A5F">
        <w:rPr>
          <w:lang w:val="es-ES_tradnl"/>
        </w:rPr>
        <w:t>a</w:t>
      </w:r>
      <w:r>
        <w:rPr>
          <w:lang w:val="es-ES_tradnl"/>
        </w:rPr>
        <w:t xml:space="preserve"> según el cual a partir de la separación, los padres deben asegurar a sus hijos </w:t>
      </w:r>
      <w:r w:rsidR="00E435B1">
        <w:rPr>
          <w:lang w:val="es-ES_tradnl"/>
        </w:rPr>
        <w:t>comunicación</w:t>
      </w:r>
      <w:r>
        <w:rPr>
          <w:lang w:val="es-ES_tradnl"/>
        </w:rPr>
        <w:t xml:space="preserve"> con el progenitor no </w:t>
      </w:r>
      <w:r w:rsidR="00E435B1">
        <w:rPr>
          <w:lang w:val="es-ES_tradnl"/>
        </w:rPr>
        <w:t>conv</w:t>
      </w:r>
      <w:r w:rsidR="00EA3D8F">
        <w:rPr>
          <w:lang w:val="es-ES_tradnl"/>
        </w:rPr>
        <w:t>ivie</w:t>
      </w:r>
      <w:r w:rsidR="00E435B1">
        <w:rPr>
          <w:lang w:val="es-ES_tradnl"/>
        </w:rPr>
        <w:t>nte</w:t>
      </w:r>
      <w:r>
        <w:rPr>
          <w:lang w:val="es-ES_tradnl"/>
        </w:rPr>
        <w:t xml:space="preserve"> y, </w:t>
      </w:r>
      <w:r w:rsidR="00E435B1">
        <w:rPr>
          <w:lang w:val="es-ES_tradnl"/>
        </w:rPr>
        <w:t>más</w:t>
      </w:r>
      <w:r>
        <w:rPr>
          <w:lang w:val="es-ES_tradnl"/>
        </w:rPr>
        <w:t xml:space="preserve"> aun, los Estados deben respetar ese derecho que la </w:t>
      </w:r>
      <w:r w:rsidR="00E435B1">
        <w:rPr>
          <w:lang w:val="es-ES_tradnl"/>
        </w:rPr>
        <w:t>Convención</w:t>
      </w:r>
      <w:r>
        <w:rPr>
          <w:lang w:val="es-ES_tradnl"/>
        </w:rPr>
        <w:t xml:space="preserve"> describe como el que tiene por objeto asegurar el mantenimiento de las relaciones personales y contacto directo con ambos padres de modo regular.</w:t>
      </w:r>
      <w:r w:rsidR="00A22E94" w:rsidRPr="00A22E94">
        <w:t xml:space="preserve"> </w:t>
      </w:r>
      <w:r w:rsidR="00A22E94" w:rsidRPr="00A22E94">
        <w:rPr>
          <w:lang w:val="es-ES_tradnl"/>
        </w:rPr>
        <w:t xml:space="preserve">El autor indica que cumple regularmente con sus obligaciones de asistencia alimenticia por lo que no existe </w:t>
      </w:r>
      <w:r w:rsidR="00776C65">
        <w:rPr>
          <w:lang w:val="es-ES_tradnl"/>
        </w:rPr>
        <w:t xml:space="preserve">obstáculo alguno </w:t>
      </w:r>
      <w:r w:rsidR="00A22E94" w:rsidRPr="00A22E94">
        <w:rPr>
          <w:lang w:val="es-ES_tradnl"/>
        </w:rPr>
        <w:t xml:space="preserve">para contratar un servicio de </w:t>
      </w:r>
      <w:r w:rsidR="00776C65">
        <w:rPr>
          <w:lang w:val="es-ES_tradnl"/>
        </w:rPr>
        <w:t>I</w:t>
      </w:r>
      <w:r w:rsidR="00A22E94" w:rsidRPr="00A22E94">
        <w:rPr>
          <w:lang w:val="es-ES_tradnl"/>
        </w:rPr>
        <w:t>nternet que hoy en día puede ser obtenido fácilmente por la madre, i</w:t>
      </w:r>
      <w:r w:rsidR="00BA3453">
        <w:rPr>
          <w:lang w:val="es-ES_tradnl"/>
        </w:rPr>
        <w:t>ncluso en el teléfono celular.</w:t>
      </w:r>
    </w:p>
    <w:p w14:paraId="47711D3D" w14:textId="435BB972" w:rsidR="000C2A57" w:rsidRDefault="00D657D1" w:rsidP="003178F4">
      <w:pPr>
        <w:pStyle w:val="SingleTxtG"/>
        <w:rPr>
          <w:lang w:val="es-ES_tradnl"/>
        </w:rPr>
      </w:pPr>
      <w:r>
        <w:rPr>
          <w:lang w:val="es-ES_tradnl"/>
        </w:rPr>
        <w:t>3.</w:t>
      </w:r>
      <w:r w:rsidR="00EA3D8F">
        <w:rPr>
          <w:lang w:val="es-ES_tradnl"/>
        </w:rPr>
        <w:t>6</w:t>
      </w:r>
      <w:r w:rsidR="00F53805">
        <w:rPr>
          <w:lang w:val="es-ES_tradnl"/>
        </w:rPr>
        <w:tab/>
      </w:r>
      <w:r>
        <w:rPr>
          <w:lang w:val="es-ES_tradnl"/>
        </w:rPr>
        <w:t>El autor alega que el Estado parte ha violado igualmente el artículo 10</w:t>
      </w:r>
      <w:r w:rsidR="00D53280">
        <w:rPr>
          <w:lang w:val="es-ES_tradnl"/>
        </w:rPr>
        <w:t xml:space="preserve">, párrafo </w:t>
      </w:r>
      <w:r w:rsidR="00B36BCD">
        <w:rPr>
          <w:lang w:val="es-ES_tradnl"/>
        </w:rPr>
        <w:t>2</w:t>
      </w:r>
      <w:r w:rsidR="00D53280">
        <w:rPr>
          <w:lang w:val="es-ES_tradnl"/>
        </w:rPr>
        <w:t>,</w:t>
      </w:r>
      <w:r>
        <w:rPr>
          <w:lang w:val="es-ES_tradnl"/>
        </w:rPr>
        <w:t xml:space="preserve"> de la Convención según el cual el niño cuyos padres residan en Estados diferentes tendrá derecho a mantener periódicamente, salvo en circunstancias excepcionales, relaciones personales y contactos directos con ambos padres. Señala que</w:t>
      </w:r>
      <w:r w:rsidR="00F56712">
        <w:rPr>
          <w:lang w:val="es-ES_tradnl"/>
        </w:rPr>
        <w:t>,</w:t>
      </w:r>
      <w:r>
        <w:rPr>
          <w:lang w:val="es-ES_tradnl"/>
        </w:rPr>
        <w:t xml:space="preserve"> en el presente caso, no existen circunstancias excepcionales que impidan el relacionamiento con su hija. A pesar de haber solicitado el apoyo de las autoridades del Estado parte en numerosas ocasiones, sus solicitudes no fueron atendidas de manera positiva y expeditiva. </w:t>
      </w:r>
    </w:p>
    <w:p w14:paraId="597B7AA3" w14:textId="06071A70" w:rsidR="00F24DB8" w:rsidRDefault="00F24DB8" w:rsidP="003178F4">
      <w:pPr>
        <w:pStyle w:val="SingleTxtG"/>
        <w:rPr>
          <w:lang w:val="es-ES_tradnl"/>
        </w:rPr>
      </w:pPr>
      <w:r>
        <w:rPr>
          <w:lang w:val="es-ES_tradnl"/>
        </w:rPr>
        <w:t>3.</w:t>
      </w:r>
      <w:r w:rsidR="00EA3D8F">
        <w:rPr>
          <w:lang w:val="es-ES_tradnl"/>
        </w:rPr>
        <w:t>7</w:t>
      </w:r>
      <w:r w:rsidR="00F53805">
        <w:rPr>
          <w:lang w:val="es-ES_tradnl"/>
        </w:rPr>
        <w:tab/>
      </w:r>
      <w:r>
        <w:rPr>
          <w:lang w:val="es-ES_tradnl"/>
        </w:rPr>
        <w:t xml:space="preserve">El autor alega asimismo </w:t>
      </w:r>
      <w:r w:rsidR="00F5453E">
        <w:rPr>
          <w:lang w:val="es-ES_tradnl"/>
        </w:rPr>
        <w:t xml:space="preserve">que el Estado parte ha violado </w:t>
      </w:r>
      <w:r>
        <w:rPr>
          <w:lang w:val="es-ES_tradnl"/>
        </w:rPr>
        <w:t xml:space="preserve">los artículos 18 y 19 de la </w:t>
      </w:r>
      <w:r w:rsidR="00F5453E">
        <w:rPr>
          <w:lang w:val="es-ES_tradnl"/>
        </w:rPr>
        <w:t>Convención</w:t>
      </w:r>
      <w:r>
        <w:rPr>
          <w:lang w:val="es-ES_tradnl"/>
        </w:rPr>
        <w:t xml:space="preserve">. </w:t>
      </w:r>
      <w:r w:rsidR="00F5453E">
        <w:rPr>
          <w:lang w:val="es-ES_tradnl"/>
        </w:rPr>
        <w:t xml:space="preserve">Señala que estos </w:t>
      </w:r>
      <w:r w:rsidR="00E177CD">
        <w:rPr>
          <w:lang w:val="es-ES_tradnl"/>
        </w:rPr>
        <w:t>“</w:t>
      </w:r>
      <w:r w:rsidR="00F5453E">
        <w:rPr>
          <w:lang w:val="es-ES_tradnl"/>
        </w:rPr>
        <w:t>artículos se refieren a las consecuencias que el incumplimiento del régimen de relacionamiento tiene sobre</w:t>
      </w:r>
      <w:r w:rsidR="00E177CD">
        <w:rPr>
          <w:lang w:val="es-ES_tradnl"/>
        </w:rPr>
        <w:t>”</w:t>
      </w:r>
      <w:r w:rsidR="004822C7">
        <w:rPr>
          <w:lang w:val="es-ES_tradnl"/>
        </w:rPr>
        <w:t xml:space="preserve"> su hija. Indica que ambos padres son responsables de la crianza y educación de los hijos y que la inacción del Estado parte para garantizar estos derechos resulta patente. </w:t>
      </w:r>
    </w:p>
    <w:p w14:paraId="711C9202" w14:textId="77777777" w:rsidR="004822C7" w:rsidRDefault="00476221" w:rsidP="003178F4">
      <w:pPr>
        <w:pStyle w:val="SingleTxtG"/>
        <w:rPr>
          <w:lang w:val="es-ES_tradnl"/>
        </w:rPr>
      </w:pPr>
      <w:r>
        <w:rPr>
          <w:lang w:val="es-ES_tradnl"/>
        </w:rPr>
        <w:t>3.8</w:t>
      </w:r>
      <w:r w:rsidR="00F53805">
        <w:rPr>
          <w:lang w:val="es-ES_tradnl"/>
        </w:rPr>
        <w:tab/>
      </w:r>
      <w:r w:rsidR="004822C7">
        <w:rPr>
          <w:lang w:val="es-ES_tradnl"/>
        </w:rPr>
        <w:t xml:space="preserve">El autor indica que ha agotado </w:t>
      </w:r>
      <w:r w:rsidR="00876C10">
        <w:rPr>
          <w:lang w:val="es-ES_tradnl"/>
        </w:rPr>
        <w:t>todos los recursos internos previstos</w:t>
      </w:r>
      <w:r w:rsidR="004822C7">
        <w:rPr>
          <w:lang w:val="es-ES_tradnl"/>
        </w:rPr>
        <w:t xml:space="preserve"> en la legislación del Estado parte llegando hasta el Tribunal de </w:t>
      </w:r>
      <w:r w:rsidR="00876C10">
        <w:rPr>
          <w:lang w:val="es-ES_tradnl"/>
        </w:rPr>
        <w:t>Apelación</w:t>
      </w:r>
      <w:r w:rsidR="00121AB0">
        <w:rPr>
          <w:lang w:val="es-ES_tradnl"/>
        </w:rPr>
        <w:t xml:space="preserve"> de</w:t>
      </w:r>
      <w:r w:rsidR="004822C7">
        <w:rPr>
          <w:lang w:val="es-ES_tradnl"/>
        </w:rPr>
        <w:t xml:space="preserve"> la </w:t>
      </w:r>
      <w:r w:rsidR="00121AB0">
        <w:rPr>
          <w:lang w:val="es-ES_tradnl"/>
        </w:rPr>
        <w:t>N</w:t>
      </w:r>
      <w:r w:rsidR="004822C7">
        <w:rPr>
          <w:lang w:val="es-ES_tradnl"/>
        </w:rPr>
        <w:t>iñez</w:t>
      </w:r>
      <w:r w:rsidR="00121AB0">
        <w:rPr>
          <w:lang w:val="es-ES_tradnl"/>
        </w:rPr>
        <w:t xml:space="preserve"> y la Adolescencia</w:t>
      </w:r>
      <w:r w:rsidR="004822C7">
        <w:rPr>
          <w:lang w:val="es-ES_tradnl"/>
        </w:rPr>
        <w:t xml:space="preserve">, cuyas </w:t>
      </w:r>
      <w:r w:rsidR="00121AB0">
        <w:rPr>
          <w:lang w:val="es-ES_tradnl"/>
        </w:rPr>
        <w:t>decisiones</w:t>
      </w:r>
      <w:r w:rsidR="004822C7">
        <w:rPr>
          <w:lang w:val="es-ES_tradnl"/>
        </w:rPr>
        <w:t xml:space="preserve"> no son recurribles ante la Corte Suprema de Justicia. Reitera que todos los jueces tanto de primera como de segunda instancia se han negado a adoptar medidas cautelares y resolver el relacionamiento por </w:t>
      </w:r>
      <w:r w:rsidR="00876C10">
        <w:rPr>
          <w:lang w:val="es-ES_tradnl"/>
        </w:rPr>
        <w:t>vía</w:t>
      </w:r>
      <w:r w:rsidR="004822C7">
        <w:rPr>
          <w:lang w:val="es-ES_tradnl"/>
        </w:rPr>
        <w:t xml:space="preserve"> del Colegio San José para permitir al menos una mejor relación con su hija. </w:t>
      </w:r>
    </w:p>
    <w:p w14:paraId="701A4BE9" w14:textId="59DFBE64" w:rsidR="00D657D1" w:rsidRPr="00ED2B38" w:rsidRDefault="00476221" w:rsidP="003178F4">
      <w:pPr>
        <w:pStyle w:val="SingleTxtG"/>
      </w:pPr>
      <w:r>
        <w:rPr>
          <w:lang w:val="es-ES_tradnl"/>
        </w:rPr>
        <w:t>3.9</w:t>
      </w:r>
      <w:r w:rsidR="00F53805">
        <w:rPr>
          <w:lang w:val="es-ES_tradnl"/>
        </w:rPr>
        <w:tab/>
      </w:r>
      <w:r w:rsidR="00A22E94">
        <w:rPr>
          <w:lang w:val="es-ES_tradnl"/>
        </w:rPr>
        <w:t>El autor c</w:t>
      </w:r>
      <w:r w:rsidR="00047CEA">
        <w:rPr>
          <w:lang w:val="es-ES_tradnl"/>
        </w:rPr>
        <w:t xml:space="preserve">oncluye </w:t>
      </w:r>
      <w:r w:rsidR="00DD0E30">
        <w:rPr>
          <w:lang w:val="es-ES_tradnl"/>
        </w:rPr>
        <w:t xml:space="preserve">que existe una sentencia judicial firme, cuya validez fue ratificada por el Tribunal de </w:t>
      </w:r>
      <w:r w:rsidR="00876C10">
        <w:rPr>
          <w:lang w:val="es-ES_tradnl"/>
        </w:rPr>
        <w:t xml:space="preserve">Apelación. Reitera que ha </w:t>
      </w:r>
      <w:r w:rsidR="00907504">
        <w:rPr>
          <w:lang w:val="es-ES_tradnl"/>
        </w:rPr>
        <w:t>solicitado</w:t>
      </w:r>
      <w:r w:rsidR="00876C10">
        <w:rPr>
          <w:lang w:val="es-ES_tradnl"/>
        </w:rPr>
        <w:t xml:space="preserve"> varias medidas a las autoridades judiciales que nunca han sido atendidas: </w:t>
      </w:r>
      <w:r w:rsidR="00A71E34">
        <w:rPr>
          <w:lang w:val="es-ES_tradnl"/>
        </w:rPr>
        <w:t>a</w:t>
      </w:r>
      <w:r w:rsidR="00876C10">
        <w:rPr>
          <w:lang w:val="es-ES_tradnl"/>
        </w:rPr>
        <w:t xml:space="preserve">) cambio del régimen de relacionamiento conforme al artículo 96 del </w:t>
      </w:r>
      <w:r w:rsidR="00A71E34">
        <w:rPr>
          <w:lang w:val="es-ES_tradnl"/>
        </w:rPr>
        <w:t>C</w:t>
      </w:r>
      <w:r w:rsidR="00876C10">
        <w:rPr>
          <w:lang w:val="es-ES_tradnl"/>
        </w:rPr>
        <w:t xml:space="preserve">ódigo de la </w:t>
      </w:r>
      <w:r w:rsidR="00A71E34">
        <w:rPr>
          <w:lang w:val="es-ES_tradnl"/>
        </w:rPr>
        <w:t>N</w:t>
      </w:r>
      <w:r w:rsidR="00876C10">
        <w:rPr>
          <w:lang w:val="es-ES_tradnl"/>
        </w:rPr>
        <w:t xml:space="preserve">iñez y la </w:t>
      </w:r>
      <w:r w:rsidR="00A71E34">
        <w:rPr>
          <w:lang w:val="es-ES_tradnl"/>
        </w:rPr>
        <w:t>A</w:t>
      </w:r>
      <w:r w:rsidR="00876C10">
        <w:rPr>
          <w:lang w:val="es-ES_tradnl"/>
        </w:rPr>
        <w:t xml:space="preserve">dolescencia; </w:t>
      </w:r>
      <w:r w:rsidR="00A71E34">
        <w:rPr>
          <w:lang w:val="es-ES_tradnl"/>
        </w:rPr>
        <w:t>b</w:t>
      </w:r>
      <w:r w:rsidR="00876C10">
        <w:rPr>
          <w:lang w:val="es-ES_tradnl"/>
        </w:rPr>
        <w:t xml:space="preserve">) aplicación de multas previstas en el artículo 236 del </w:t>
      </w:r>
      <w:r w:rsidR="004175A1">
        <w:rPr>
          <w:lang w:val="es-ES_tradnl"/>
        </w:rPr>
        <w:t>Código de Organización Judicial</w:t>
      </w:r>
      <w:r w:rsidR="005C09DA">
        <w:rPr>
          <w:lang w:val="es-ES_tradnl"/>
        </w:rPr>
        <w:t xml:space="preserve">; y </w:t>
      </w:r>
      <w:r w:rsidR="00A71E34">
        <w:rPr>
          <w:lang w:val="es-ES_tradnl"/>
        </w:rPr>
        <w:t>c</w:t>
      </w:r>
      <w:r w:rsidR="005C09DA">
        <w:rPr>
          <w:lang w:val="es-ES_tradnl"/>
        </w:rPr>
        <w:t>)</w:t>
      </w:r>
      <w:r w:rsidR="00876C10">
        <w:rPr>
          <w:lang w:val="es-ES_tradnl"/>
        </w:rPr>
        <w:t xml:space="preserve"> relacionamiento a través del </w:t>
      </w:r>
      <w:r w:rsidR="008B3095">
        <w:rPr>
          <w:lang w:val="es-ES_tradnl"/>
        </w:rPr>
        <w:t>C</w:t>
      </w:r>
      <w:r w:rsidR="00876C10">
        <w:rPr>
          <w:lang w:val="es-ES_tradnl"/>
        </w:rPr>
        <w:t>olegio San José.</w:t>
      </w:r>
      <w:r w:rsidR="005C09DA">
        <w:t xml:space="preserve"> El autor indica que ha expresado en numerosas ocasiones su preferencia por la utilización de las dos primeras vías, dejando la otra </w:t>
      </w:r>
      <w:r w:rsidR="00955086">
        <w:t>vía</w:t>
      </w:r>
      <w:r w:rsidR="005C09DA">
        <w:t xml:space="preserve"> de la </w:t>
      </w:r>
      <w:r w:rsidR="00955086">
        <w:t>remisión</w:t>
      </w:r>
      <w:r w:rsidR="005C09DA">
        <w:t xml:space="preserve"> de los antecedentes da la justicia penal por desacato (Ley 4711) para un caso extremo en el que la demandada siguiera </w:t>
      </w:r>
      <w:r w:rsidR="00955086">
        <w:t>persistiendo</w:t>
      </w:r>
      <w:r w:rsidR="005C09DA">
        <w:t xml:space="preserve"> en no </w:t>
      </w:r>
      <w:r w:rsidR="00955086">
        <w:t>permitir</w:t>
      </w:r>
      <w:r w:rsidR="005C09DA">
        <w:t xml:space="preserve"> </w:t>
      </w:r>
      <w:r w:rsidR="00F56712">
        <w:t>su</w:t>
      </w:r>
      <w:r w:rsidR="00F56712" w:rsidRPr="00ED2B38">
        <w:t xml:space="preserve"> </w:t>
      </w:r>
      <w:r w:rsidR="00955086" w:rsidRPr="00ED2B38">
        <w:t>comunicación</w:t>
      </w:r>
      <w:r w:rsidR="005C09DA" w:rsidRPr="00ED2B38">
        <w:t xml:space="preserve"> con </w:t>
      </w:r>
      <w:r w:rsidR="00F56712">
        <w:t>la niña</w:t>
      </w:r>
      <w:r w:rsidR="005C09DA" w:rsidRPr="00ED2B38">
        <w:t xml:space="preserve">. </w:t>
      </w:r>
    </w:p>
    <w:p w14:paraId="3BDF2D25" w14:textId="5D8DBA8E" w:rsidR="009D3C54" w:rsidRDefault="00476221" w:rsidP="001B059D">
      <w:pPr>
        <w:pStyle w:val="SingleTxtG"/>
        <w:rPr>
          <w:lang w:val="es-ES_tradnl"/>
        </w:rPr>
      </w:pPr>
      <w:r>
        <w:rPr>
          <w:lang w:val="es-ES_tradnl"/>
        </w:rPr>
        <w:t>3.10</w:t>
      </w:r>
      <w:r w:rsidR="00F53805">
        <w:rPr>
          <w:lang w:val="es-ES_tradnl"/>
        </w:rPr>
        <w:tab/>
      </w:r>
      <w:r w:rsidR="00943B7A" w:rsidRPr="00ED2B38">
        <w:rPr>
          <w:lang w:val="es-ES_tradnl"/>
        </w:rPr>
        <w:t xml:space="preserve">El autor solicita que el Comité </w:t>
      </w:r>
      <w:r w:rsidR="00A03BEB">
        <w:rPr>
          <w:lang w:val="es-ES_tradnl"/>
        </w:rPr>
        <w:t xml:space="preserve">resuelva </w:t>
      </w:r>
      <w:r w:rsidR="00943B7A" w:rsidRPr="00ED2B38">
        <w:rPr>
          <w:lang w:val="es-ES_tradnl"/>
        </w:rPr>
        <w:t>admiti</w:t>
      </w:r>
      <w:r w:rsidR="00A03BEB">
        <w:rPr>
          <w:lang w:val="es-ES_tradnl"/>
        </w:rPr>
        <w:t xml:space="preserve">r </w:t>
      </w:r>
      <w:r w:rsidR="00943B7A" w:rsidRPr="00ED2B38">
        <w:rPr>
          <w:lang w:val="es-ES_tradnl"/>
        </w:rPr>
        <w:t xml:space="preserve">la presente comunicación y que </w:t>
      </w:r>
      <w:r w:rsidR="00E177CD">
        <w:rPr>
          <w:lang w:val="es-ES_tradnl"/>
        </w:rPr>
        <w:t>“</w:t>
      </w:r>
      <w:r w:rsidR="00943B7A" w:rsidRPr="00ED2B38">
        <w:rPr>
          <w:lang w:val="es-ES_tradnl"/>
        </w:rPr>
        <w:t>condene al Estado parte a la asistencia inmediata al autor para cumplir con el régimen de relacionamiento, disponiendo se le otorguen las garantías de no repetición de los hechos y la investigación del caso que debe incluir la apertura de un sumario y sanción a los responsables, además de una indemnización al autor por los daños causados</w:t>
      </w:r>
      <w:r w:rsidR="00E177CD">
        <w:rPr>
          <w:lang w:val="es-ES_tradnl"/>
        </w:rPr>
        <w:t>”</w:t>
      </w:r>
      <w:r w:rsidR="00943B7A" w:rsidRPr="00ED2B38">
        <w:rPr>
          <w:lang w:val="es-ES_tradnl"/>
        </w:rPr>
        <w:t>. El autor informa que tiene voluntad de encontrar una solución amistosa si el Estado parte se aviene a intervenir activamente en la defensa de los derechos del autor y de su hija.</w:t>
      </w:r>
      <w:r w:rsidR="00943B7A">
        <w:rPr>
          <w:lang w:val="es-ES_tradnl"/>
        </w:rPr>
        <w:t xml:space="preserve"> </w:t>
      </w:r>
    </w:p>
    <w:p w14:paraId="7BD3B5E3" w14:textId="77777777" w:rsidR="00180706" w:rsidRPr="00ED2B38" w:rsidRDefault="00180706" w:rsidP="00180706">
      <w:pPr>
        <w:pStyle w:val="H23G"/>
        <w:rPr>
          <w:lang w:val="es-ES_tradnl"/>
        </w:rPr>
      </w:pPr>
      <w:r>
        <w:rPr>
          <w:lang w:val="es-ES_tradnl"/>
        </w:rPr>
        <w:lastRenderedPageBreak/>
        <w:tab/>
      </w:r>
      <w:r>
        <w:rPr>
          <w:lang w:val="es-ES_tradnl"/>
        </w:rPr>
        <w:tab/>
      </w:r>
      <w:r w:rsidRPr="00ED2B38">
        <w:rPr>
          <w:lang w:val="es-ES_tradnl"/>
        </w:rPr>
        <w:t>Observaciones del Estado parte sobre la admisibilidad</w:t>
      </w:r>
      <w:r w:rsidR="001C187D" w:rsidRPr="00ED2B38">
        <w:rPr>
          <w:lang w:val="es-ES_tradnl"/>
        </w:rPr>
        <w:t xml:space="preserve"> y el fondo</w:t>
      </w:r>
    </w:p>
    <w:p w14:paraId="03F5B051" w14:textId="0E49421D" w:rsidR="001C187D" w:rsidRPr="00ED2B38" w:rsidRDefault="00180706" w:rsidP="00180706">
      <w:pPr>
        <w:pStyle w:val="SingleTxtG"/>
        <w:rPr>
          <w:lang w:val="es-ES_tradnl"/>
        </w:rPr>
      </w:pPr>
      <w:r w:rsidRPr="00ED2B38">
        <w:rPr>
          <w:lang w:val="es-ES_tradnl"/>
        </w:rPr>
        <w:t>4.1</w:t>
      </w:r>
      <w:r w:rsidRPr="00ED2B38">
        <w:rPr>
          <w:lang w:val="es-ES_tradnl"/>
        </w:rPr>
        <w:tab/>
        <w:t xml:space="preserve">En sus observaciones del </w:t>
      </w:r>
      <w:r w:rsidR="001C187D" w:rsidRPr="00ED2B38">
        <w:rPr>
          <w:lang w:val="es-ES_tradnl"/>
        </w:rPr>
        <w:t xml:space="preserve">4 de septiembre de 2018, el Estado parte sostiene que la comunicación deber ser declarada inadmisible </w:t>
      </w:r>
      <w:r w:rsidR="001C187D" w:rsidRPr="00ED2B38">
        <w:rPr>
          <w:i/>
          <w:lang w:val="es-ES_tradnl"/>
        </w:rPr>
        <w:t>ratione temporis</w:t>
      </w:r>
      <w:r w:rsidR="001C187D" w:rsidRPr="00ED2B38">
        <w:rPr>
          <w:lang w:val="es-ES_tradnl"/>
        </w:rPr>
        <w:t xml:space="preserve">, </w:t>
      </w:r>
      <w:r w:rsidR="00BE2BF9" w:rsidRPr="00BE2BF9">
        <w:rPr>
          <w:lang w:val="es-ES_tradnl"/>
        </w:rPr>
        <w:t>de acuerdo con el artículo</w:t>
      </w:r>
      <w:r w:rsidR="001C187D" w:rsidRPr="00ED2B38">
        <w:rPr>
          <w:lang w:val="es-ES_tradnl"/>
        </w:rPr>
        <w:t xml:space="preserve"> 7</w:t>
      </w:r>
      <w:r w:rsidR="00456446">
        <w:rPr>
          <w:lang w:val="es-ES_tradnl"/>
        </w:rPr>
        <w:t>, apartado</w:t>
      </w:r>
      <w:r w:rsidR="001C187D" w:rsidRPr="00ED2B38">
        <w:rPr>
          <w:lang w:val="es-ES_tradnl"/>
        </w:rPr>
        <w:t xml:space="preserve"> g)</w:t>
      </w:r>
      <w:r w:rsidR="00456446">
        <w:rPr>
          <w:lang w:val="es-ES_tradnl"/>
        </w:rPr>
        <w:t>,</w:t>
      </w:r>
      <w:r w:rsidR="001C187D" w:rsidRPr="00ED2B38">
        <w:rPr>
          <w:lang w:val="es-ES_tradnl"/>
        </w:rPr>
        <w:t xml:space="preserve"> del Protocolo Facultativo, ya que los hechos alegados ocurrieron antes de la entrada en vigor del Protocolo </w:t>
      </w:r>
      <w:r w:rsidR="00575FE5">
        <w:rPr>
          <w:lang w:val="es-ES_tradnl"/>
        </w:rPr>
        <w:t>F</w:t>
      </w:r>
      <w:r w:rsidR="001C187D" w:rsidRPr="00ED2B38">
        <w:rPr>
          <w:lang w:val="es-ES_tradnl"/>
        </w:rPr>
        <w:t xml:space="preserve">acultativo para el Estado parte. El Estado parte recuerda que el </w:t>
      </w:r>
      <w:r w:rsidR="00575FE5">
        <w:rPr>
          <w:lang w:val="es-ES_tradnl"/>
        </w:rPr>
        <w:t>a</w:t>
      </w:r>
      <w:r w:rsidR="001C187D" w:rsidRPr="00ED2B38">
        <w:rPr>
          <w:lang w:val="es-ES_tradnl"/>
        </w:rPr>
        <w:t xml:space="preserve">cuerdo </w:t>
      </w:r>
      <w:r w:rsidR="00575FE5">
        <w:rPr>
          <w:lang w:val="es-ES_tradnl"/>
        </w:rPr>
        <w:t>c</w:t>
      </w:r>
      <w:r w:rsidR="001C187D" w:rsidRPr="00ED2B38">
        <w:rPr>
          <w:lang w:val="es-ES_tradnl"/>
        </w:rPr>
        <w:t xml:space="preserve">onciliatorio </w:t>
      </w:r>
      <w:r w:rsidR="00575FE5">
        <w:rPr>
          <w:lang w:val="es-ES_tradnl"/>
        </w:rPr>
        <w:t>i</w:t>
      </w:r>
      <w:r w:rsidR="001C187D" w:rsidRPr="00ED2B38">
        <w:rPr>
          <w:lang w:val="es-ES_tradnl"/>
        </w:rPr>
        <w:t xml:space="preserve">nicial suscrito por el autor y la madre de su hija fue homologado judicialmente según la </w:t>
      </w:r>
      <w:r w:rsidR="00575FE5">
        <w:rPr>
          <w:lang w:val="es-ES_tradnl"/>
        </w:rPr>
        <w:t>s</w:t>
      </w:r>
      <w:r w:rsidR="001C187D" w:rsidRPr="00ED2B38">
        <w:rPr>
          <w:lang w:val="es-ES_tradnl"/>
        </w:rPr>
        <w:t xml:space="preserve">entencia </w:t>
      </w:r>
      <w:r w:rsidR="00575FE5">
        <w:rPr>
          <w:lang w:val="es-ES_tradnl"/>
        </w:rPr>
        <w:t>d</w:t>
      </w:r>
      <w:r w:rsidR="001C187D" w:rsidRPr="00ED2B38">
        <w:rPr>
          <w:lang w:val="es-ES_tradnl"/>
        </w:rPr>
        <w:t xml:space="preserve">efinitiva </w:t>
      </w:r>
      <w:r w:rsidR="00575FE5">
        <w:rPr>
          <w:lang w:val="es-ES_tradnl"/>
        </w:rPr>
        <w:t xml:space="preserve">núm. </w:t>
      </w:r>
      <w:r w:rsidR="001C187D" w:rsidRPr="00ED2B38">
        <w:rPr>
          <w:lang w:val="es-ES_tradnl"/>
        </w:rPr>
        <w:t>139 del 30 de abril de 2015. Señala que no se puede afirmar que los hechos alegados respecto de la situación de C.R. hayan continuado produciéndose de manera permanente después del 20 de abril de 2017, fecha de entrada en vigor del Protocolo Facultativo para el Estado parte.</w:t>
      </w:r>
    </w:p>
    <w:p w14:paraId="0379C7CE" w14:textId="70680CF6" w:rsidR="001C187D" w:rsidRDefault="00476221" w:rsidP="00180706">
      <w:pPr>
        <w:pStyle w:val="SingleTxtG"/>
        <w:rPr>
          <w:lang w:val="es-ES_tradnl"/>
        </w:rPr>
      </w:pPr>
      <w:r>
        <w:rPr>
          <w:lang w:val="es-ES_tradnl"/>
        </w:rPr>
        <w:t>4.2</w:t>
      </w:r>
      <w:r w:rsidR="00F53805">
        <w:rPr>
          <w:lang w:val="es-ES_tradnl"/>
        </w:rPr>
        <w:tab/>
      </w:r>
      <w:r w:rsidR="00AF78AB" w:rsidRPr="00ED2B38">
        <w:rPr>
          <w:lang w:val="es-ES_tradnl"/>
        </w:rPr>
        <w:t>El Estado parte sostiene asimismo que, de acuerdo con el artículo 7</w:t>
      </w:r>
      <w:r w:rsidR="00A6047E">
        <w:rPr>
          <w:lang w:val="es-ES_tradnl"/>
        </w:rPr>
        <w:t>, apartado</w:t>
      </w:r>
      <w:r w:rsidR="00AF78AB" w:rsidRPr="00ED2B38">
        <w:rPr>
          <w:lang w:val="es-ES_tradnl"/>
        </w:rPr>
        <w:t xml:space="preserve"> e)</w:t>
      </w:r>
      <w:r w:rsidR="00A6047E">
        <w:rPr>
          <w:lang w:val="es-ES_tradnl"/>
        </w:rPr>
        <w:t>,</w:t>
      </w:r>
      <w:r w:rsidR="00AF78AB" w:rsidRPr="00ED2B38">
        <w:rPr>
          <w:lang w:val="es-ES_tradnl"/>
        </w:rPr>
        <w:t xml:space="preserve"> del Protocolo Facultativo, la comunicación es inadmisible por falta de agotamiento</w:t>
      </w:r>
      <w:r w:rsidR="00293A1A" w:rsidRPr="00ED2B38">
        <w:rPr>
          <w:lang w:val="es-ES_tradnl"/>
        </w:rPr>
        <w:t xml:space="preserve"> de los recursos</w:t>
      </w:r>
      <w:r w:rsidR="00293A1A">
        <w:rPr>
          <w:lang w:val="es-ES_tradnl"/>
        </w:rPr>
        <w:t xml:space="preserve"> internos. Señala que el autor no ha presentado su queja ante la Corte Suprema de Justicia, para que esta pudiera decidir sobre el fondo de la controversia, según las disposiciones del </w:t>
      </w:r>
      <w:r w:rsidR="00D304B7">
        <w:rPr>
          <w:lang w:val="es-ES_tradnl"/>
        </w:rPr>
        <w:t>Código</w:t>
      </w:r>
      <w:r w:rsidR="00293A1A">
        <w:rPr>
          <w:lang w:val="es-ES_tradnl"/>
        </w:rPr>
        <w:t xml:space="preserve"> de la </w:t>
      </w:r>
      <w:r w:rsidR="00D304B7">
        <w:rPr>
          <w:lang w:val="es-ES_tradnl"/>
        </w:rPr>
        <w:t>Niñez</w:t>
      </w:r>
      <w:r w:rsidR="00293A1A">
        <w:rPr>
          <w:lang w:val="es-ES_tradnl"/>
        </w:rPr>
        <w:t xml:space="preserve"> y la Adolescencia</w:t>
      </w:r>
      <w:r w:rsidR="004472EF">
        <w:rPr>
          <w:lang w:val="es-ES_tradnl"/>
        </w:rPr>
        <w:t xml:space="preserve">. </w:t>
      </w:r>
      <w:r w:rsidR="00293A1A">
        <w:rPr>
          <w:lang w:val="es-ES_tradnl"/>
        </w:rPr>
        <w:t xml:space="preserve">El autor solamente </w:t>
      </w:r>
      <w:r w:rsidR="00D304B7">
        <w:rPr>
          <w:lang w:val="es-ES_tradnl"/>
        </w:rPr>
        <w:t>recurrió</w:t>
      </w:r>
      <w:r w:rsidR="00293A1A">
        <w:rPr>
          <w:lang w:val="es-ES_tradnl"/>
        </w:rPr>
        <w:t xml:space="preserve"> a la Sala Penal de la Corte Suprema de Justicia a efectos meramente procesales a través del </w:t>
      </w:r>
      <w:r w:rsidR="00E75CB6">
        <w:rPr>
          <w:lang w:val="es-ES_tradnl"/>
        </w:rPr>
        <w:t>r</w:t>
      </w:r>
      <w:r w:rsidR="00293A1A">
        <w:rPr>
          <w:lang w:val="es-ES_tradnl"/>
        </w:rPr>
        <w:t>ecurso d</w:t>
      </w:r>
      <w:r w:rsidR="00D709E4">
        <w:rPr>
          <w:lang w:val="es-ES_tradnl"/>
        </w:rPr>
        <w:t>e</w:t>
      </w:r>
      <w:r w:rsidR="00293A1A">
        <w:rPr>
          <w:lang w:val="es-ES_tradnl"/>
        </w:rPr>
        <w:t xml:space="preserve"> </w:t>
      </w:r>
      <w:r w:rsidR="00E75CB6">
        <w:rPr>
          <w:lang w:val="es-ES_tradnl"/>
        </w:rPr>
        <w:t>q</w:t>
      </w:r>
      <w:r w:rsidR="00293A1A">
        <w:rPr>
          <w:lang w:val="es-ES_tradnl"/>
        </w:rPr>
        <w:t xml:space="preserve">ueja por </w:t>
      </w:r>
      <w:r w:rsidR="00E75CB6">
        <w:rPr>
          <w:lang w:val="es-ES_tradnl"/>
        </w:rPr>
        <w:t>r</w:t>
      </w:r>
      <w:r w:rsidR="00293A1A">
        <w:rPr>
          <w:lang w:val="es-ES_tradnl"/>
        </w:rPr>
        <w:t xml:space="preserve">etardo de </w:t>
      </w:r>
      <w:r w:rsidR="00E75CB6">
        <w:rPr>
          <w:lang w:val="es-ES_tradnl"/>
        </w:rPr>
        <w:t>j</w:t>
      </w:r>
      <w:r w:rsidR="00293A1A">
        <w:rPr>
          <w:lang w:val="es-ES_tradnl"/>
        </w:rPr>
        <w:t xml:space="preserve">usticia en virtud de los artículos 412 y 414 del </w:t>
      </w:r>
      <w:r w:rsidR="00D304B7">
        <w:rPr>
          <w:lang w:val="es-ES_tradnl"/>
        </w:rPr>
        <w:t>Código</w:t>
      </w:r>
      <w:r w:rsidR="00293A1A">
        <w:rPr>
          <w:lang w:val="es-ES_tradnl"/>
        </w:rPr>
        <w:t xml:space="preserve"> de Procesal Civil</w:t>
      </w:r>
      <w:r w:rsidR="001472E0" w:rsidRPr="00CF6A1F">
        <w:rPr>
          <w:rStyle w:val="FootnoteReference"/>
          <w:szCs w:val="18"/>
          <w:lang w:val="es-ES_tradnl"/>
        </w:rPr>
        <w:footnoteReference w:id="16"/>
      </w:r>
      <w:r w:rsidR="00293A1A">
        <w:rPr>
          <w:lang w:val="es-ES_tradnl"/>
        </w:rPr>
        <w:t>.</w:t>
      </w:r>
    </w:p>
    <w:p w14:paraId="71F2DC09" w14:textId="3068ACCF" w:rsidR="00D304B7" w:rsidRDefault="00476221" w:rsidP="00180706">
      <w:pPr>
        <w:pStyle w:val="SingleTxtG"/>
        <w:rPr>
          <w:lang w:val="es-ES_tradnl"/>
        </w:rPr>
      </w:pPr>
      <w:r>
        <w:rPr>
          <w:lang w:val="es-ES_tradnl"/>
        </w:rPr>
        <w:t>4.3</w:t>
      </w:r>
      <w:r w:rsidR="00F53805">
        <w:rPr>
          <w:lang w:val="es-ES_tradnl"/>
        </w:rPr>
        <w:tab/>
      </w:r>
      <w:r w:rsidR="00D304B7">
        <w:rPr>
          <w:lang w:val="es-ES_tradnl"/>
        </w:rPr>
        <w:t>El Estado parte señala que la Secretar</w:t>
      </w:r>
      <w:r w:rsidR="00076887">
        <w:rPr>
          <w:lang w:val="es-ES_tradnl"/>
        </w:rPr>
        <w:t>í</w:t>
      </w:r>
      <w:r w:rsidR="00D304B7">
        <w:rPr>
          <w:lang w:val="es-ES_tradnl"/>
        </w:rPr>
        <w:t>a Nacional de la Niñez y la Adolescencia verificó la situación de C.R. y present</w:t>
      </w:r>
      <w:r w:rsidR="00B47316">
        <w:rPr>
          <w:lang w:val="es-ES_tradnl"/>
        </w:rPr>
        <w:t>ó</w:t>
      </w:r>
      <w:r w:rsidR="00D304B7">
        <w:rPr>
          <w:lang w:val="es-ES_tradnl"/>
        </w:rPr>
        <w:t xml:space="preserve"> un informe donde hizo constar que no se </w:t>
      </w:r>
      <w:r w:rsidR="00B47316">
        <w:rPr>
          <w:lang w:val="es-ES_tradnl"/>
        </w:rPr>
        <w:t>encontraron</w:t>
      </w:r>
      <w:r w:rsidR="00D304B7">
        <w:rPr>
          <w:lang w:val="es-ES_tradnl"/>
        </w:rPr>
        <w:t xml:space="preserve"> pruebas que pudieran ameritar la vulneración de los derechos de la </w:t>
      </w:r>
      <w:r w:rsidR="00B47316">
        <w:rPr>
          <w:lang w:val="es-ES_tradnl"/>
        </w:rPr>
        <w:t>niña</w:t>
      </w:r>
      <w:r w:rsidR="00D304B7">
        <w:rPr>
          <w:lang w:val="es-ES_tradnl"/>
        </w:rPr>
        <w:t>, quien se enc</w:t>
      </w:r>
      <w:r w:rsidR="007427A0">
        <w:rPr>
          <w:lang w:val="es-ES_tradnl"/>
        </w:rPr>
        <w:t xml:space="preserve">ontraba </w:t>
      </w:r>
      <w:r w:rsidR="00D304B7">
        <w:rPr>
          <w:lang w:val="es-ES_tradnl"/>
        </w:rPr>
        <w:t>escolarizada en una institución privada, viv</w:t>
      </w:r>
      <w:r w:rsidR="007427A0">
        <w:rPr>
          <w:lang w:val="es-ES_tradnl"/>
        </w:rPr>
        <w:t>ía</w:t>
      </w:r>
      <w:r w:rsidR="00D304B7">
        <w:rPr>
          <w:lang w:val="es-ES_tradnl"/>
        </w:rPr>
        <w:t xml:space="preserve"> con su madre en una vivienda digna</w:t>
      </w:r>
      <w:r w:rsidR="003923B6">
        <w:rPr>
          <w:lang w:val="es-ES_tradnl"/>
        </w:rPr>
        <w:t>,</w:t>
      </w:r>
      <w:r w:rsidR="00D304B7">
        <w:rPr>
          <w:lang w:val="es-ES_tradnl"/>
        </w:rPr>
        <w:t xml:space="preserve"> y mant</w:t>
      </w:r>
      <w:r w:rsidR="007427A0">
        <w:rPr>
          <w:lang w:val="es-ES_tradnl"/>
        </w:rPr>
        <w:t xml:space="preserve">enía </w:t>
      </w:r>
      <w:r w:rsidR="003923B6">
        <w:rPr>
          <w:lang w:val="es-ES_tradnl"/>
        </w:rPr>
        <w:t>contacto</w:t>
      </w:r>
      <w:r w:rsidR="00D304B7">
        <w:rPr>
          <w:lang w:val="es-ES_tradnl"/>
        </w:rPr>
        <w:t xml:space="preserve"> con su padre </w:t>
      </w:r>
      <w:r w:rsidR="00B47316">
        <w:rPr>
          <w:lang w:val="es-ES_tradnl"/>
        </w:rPr>
        <w:t>vía</w:t>
      </w:r>
      <w:r w:rsidR="00D304B7">
        <w:rPr>
          <w:lang w:val="es-ES_tradnl"/>
        </w:rPr>
        <w:t xml:space="preserve"> </w:t>
      </w:r>
      <w:r w:rsidR="007427A0">
        <w:rPr>
          <w:lang w:val="es-ES_tradnl"/>
        </w:rPr>
        <w:t>I</w:t>
      </w:r>
      <w:r w:rsidR="00D304B7">
        <w:rPr>
          <w:lang w:val="es-ES_tradnl"/>
        </w:rPr>
        <w:t xml:space="preserve">nternet. La madre de C.R. ha depositado una declaración en la que resume la relación entre C.R. y su padre, manifestando que ella ha insistido constantemente en la </w:t>
      </w:r>
      <w:r w:rsidR="00B47316">
        <w:rPr>
          <w:lang w:val="es-ES_tradnl"/>
        </w:rPr>
        <w:t>comunicación</w:t>
      </w:r>
      <w:r w:rsidR="00D304B7">
        <w:rPr>
          <w:lang w:val="es-ES_tradnl"/>
        </w:rPr>
        <w:t xml:space="preserve"> entre ellos, que, entre 2017 y 2018, C.R. y su madre viajaron a la Argentina con el objeto de la que </w:t>
      </w:r>
      <w:r w:rsidR="00B47316">
        <w:rPr>
          <w:lang w:val="es-ES_tradnl"/>
        </w:rPr>
        <w:t>niña</w:t>
      </w:r>
      <w:r w:rsidR="00D304B7">
        <w:rPr>
          <w:lang w:val="es-ES_tradnl"/>
        </w:rPr>
        <w:t xml:space="preserve"> visitara a su padre, y que uno de los viajes había sido costeado por la madre de C.R. </w:t>
      </w:r>
    </w:p>
    <w:p w14:paraId="0CF039F0" w14:textId="562516DA" w:rsidR="001C187D" w:rsidRDefault="00476221" w:rsidP="003923B6">
      <w:pPr>
        <w:pStyle w:val="SingleTxtG"/>
        <w:rPr>
          <w:lang w:val="es-ES_tradnl"/>
        </w:rPr>
      </w:pPr>
      <w:r>
        <w:rPr>
          <w:lang w:val="es-ES_tradnl"/>
        </w:rPr>
        <w:t>4.4</w:t>
      </w:r>
      <w:r w:rsidR="00F53805">
        <w:rPr>
          <w:lang w:val="es-ES_tradnl"/>
        </w:rPr>
        <w:tab/>
      </w:r>
      <w:r w:rsidR="00B47316">
        <w:rPr>
          <w:lang w:val="es-ES_tradnl"/>
        </w:rPr>
        <w:t>El Estado parte manifiesta que</w:t>
      </w:r>
      <w:r w:rsidR="003923B6">
        <w:rPr>
          <w:lang w:val="es-ES_tradnl"/>
        </w:rPr>
        <w:t>,</w:t>
      </w:r>
      <w:r w:rsidR="00B47316">
        <w:rPr>
          <w:lang w:val="es-ES_tradnl"/>
        </w:rPr>
        <w:t xml:space="preserve"> en virtud del principio del interés superior del niño, continuar</w:t>
      </w:r>
      <w:r w:rsidR="00C057DC" w:rsidRPr="00C057DC">
        <w:rPr>
          <w:lang w:val="es-ES_tradnl"/>
        </w:rPr>
        <w:t>á</w:t>
      </w:r>
      <w:r w:rsidR="00B47316">
        <w:rPr>
          <w:lang w:val="es-ES_tradnl"/>
        </w:rPr>
        <w:t xml:space="preserve"> bregando por la garantía de los derechos que a C.R. le corresponden de conformidad con las disposiciones de la Convención y de la legislación nacional en la materia. </w:t>
      </w:r>
    </w:p>
    <w:p w14:paraId="76EB589E" w14:textId="2986CF65" w:rsidR="00180706" w:rsidRPr="009903D3" w:rsidRDefault="00180706" w:rsidP="00180706">
      <w:pPr>
        <w:pStyle w:val="H23G"/>
        <w:rPr>
          <w:lang w:val="es-ES_tradnl"/>
        </w:rPr>
      </w:pPr>
      <w:r>
        <w:rPr>
          <w:lang w:val="es-ES_tradnl"/>
        </w:rPr>
        <w:tab/>
      </w:r>
      <w:r>
        <w:rPr>
          <w:lang w:val="es-ES_tradnl"/>
        </w:rPr>
        <w:tab/>
      </w:r>
      <w:r w:rsidRPr="0038674F">
        <w:rPr>
          <w:lang w:val="es-ES_tradnl"/>
        </w:rPr>
        <w:t>Comentarios del autor a las observaciones del Estado parte sobre la admisibilidad</w:t>
      </w:r>
      <w:r w:rsidR="004E5C5B">
        <w:rPr>
          <w:lang w:val="es-ES_tradnl"/>
        </w:rPr>
        <w:t xml:space="preserve"> y</w:t>
      </w:r>
      <w:r w:rsidR="008A2BE1">
        <w:rPr>
          <w:lang w:val="es-ES_tradnl"/>
        </w:rPr>
        <w:t> </w:t>
      </w:r>
      <w:r w:rsidR="004E5C5B">
        <w:rPr>
          <w:lang w:val="es-ES_tradnl"/>
        </w:rPr>
        <w:t>el</w:t>
      </w:r>
      <w:r w:rsidR="008A2BE1">
        <w:rPr>
          <w:lang w:val="es-ES_tradnl"/>
        </w:rPr>
        <w:t> </w:t>
      </w:r>
      <w:r w:rsidR="004E5C5B">
        <w:rPr>
          <w:lang w:val="es-ES_tradnl"/>
        </w:rPr>
        <w:t>fondo</w:t>
      </w:r>
    </w:p>
    <w:p w14:paraId="3DB39A96" w14:textId="667A6A1C" w:rsidR="00084C7E" w:rsidRDefault="00180706" w:rsidP="005E612E">
      <w:pPr>
        <w:spacing w:after="120" w:line="240" w:lineRule="auto"/>
        <w:ind w:left="1134" w:right="1134"/>
        <w:jc w:val="both"/>
      </w:pPr>
      <w:r w:rsidRPr="00CC7294">
        <w:t>5.1</w:t>
      </w:r>
      <w:r w:rsidRPr="00CC7294">
        <w:tab/>
        <w:t xml:space="preserve">En sus </w:t>
      </w:r>
      <w:r w:rsidRPr="00197EB9">
        <w:t xml:space="preserve">comentarios del </w:t>
      </w:r>
      <w:r w:rsidR="001D6BFF">
        <w:t>18 de enero de 2019</w:t>
      </w:r>
      <w:r w:rsidRPr="00197EB9">
        <w:t xml:space="preserve">, </w:t>
      </w:r>
      <w:r w:rsidR="005E612E">
        <w:t>e</w:t>
      </w:r>
      <w:r w:rsidR="00084C7E">
        <w:t xml:space="preserve">l autor </w:t>
      </w:r>
      <w:r w:rsidR="004E5C5B">
        <w:t xml:space="preserve">solicita que el Comité </w:t>
      </w:r>
      <w:r w:rsidR="0084462A">
        <w:t>rechace</w:t>
      </w:r>
      <w:r w:rsidR="004E5C5B">
        <w:t xml:space="preserve"> los comentarios del Estado parte </w:t>
      </w:r>
      <w:r w:rsidR="001D5307">
        <w:t>requiriendo</w:t>
      </w:r>
      <w:r w:rsidR="004E5C5B">
        <w:t xml:space="preserve"> la inadmisibilidad de la comunicación. En cuan</w:t>
      </w:r>
      <w:r w:rsidR="00DA5D92">
        <w:t>t</w:t>
      </w:r>
      <w:r w:rsidR="004E5C5B">
        <w:t xml:space="preserve">o al argumento del Estado parte de que la comunicación debe ser declarada inadmisible </w:t>
      </w:r>
      <w:r w:rsidR="004E5C5B" w:rsidRPr="00405BD9">
        <w:rPr>
          <w:i/>
        </w:rPr>
        <w:t>ratione temporis</w:t>
      </w:r>
      <w:r w:rsidR="004E5C5B">
        <w:t xml:space="preserve">, el autor sostiene que </w:t>
      </w:r>
      <w:r w:rsidR="005E227D">
        <w:t xml:space="preserve">el Estado parte </w:t>
      </w:r>
      <w:r w:rsidR="00AF7DDE">
        <w:t>ignora</w:t>
      </w:r>
      <w:r w:rsidR="005E227D">
        <w:t xml:space="preserve"> la totalidad de los registros telefónicos que prueban que hasta la fecha la dificultad de comunicación entre el autor y su hija contin</w:t>
      </w:r>
      <w:r w:rsidR="00DA5D92">
        <w:t>ú</w:t>
      </w:r>
      <w:r w:rsidR="005E227D">
        <w:t>a</w:t>
      </w:r>
      <w:r w:rsidR="00AF7DDE" w:rsidRPr="008A2BE1">
        <w:rPr>
          <w:rStyle w:val="FootnoteReference"/>
          <w:szCs w:val="18"/>
        </w:rPr>
        <w:footnoteReference w:id="17"/>
      </w:r>
      <w:r w:rsidR="005E227D">
        <w:t>. Dicha situación empezó en 2015, se acentuó en 2017 y contin</w:t>
      </w:r>
      <w:r w:rsidR="00350FE3">
        <w:t>ú</w:t>
      </w:r>
      <w:r w:rsidR="005E227D">
        <w:t xml:space="preserve">a hasta la fecha, a pesar de que el Tribunal de </w:t>
      </w:r>
      <w:r w:rsidR="007F6003">
        <w:t xml:space="preserve">Apelación </w:t>
      </w:r>
      <w:r w:rsidR="005E227D">
        <w:t xml:space="preserve">ha consignado que </w:t>
      </w:r>
      <w:r w:rsidR="00AF7DDE">
        <w:t xml:space="preserve">la </w:t>
      </w:r>
      <w:r w:rsidR="005E227D">
        <w:t>madre</w:t>
      </w:r>
      <w:r w:rsidR="00AF7DDE">
        <w:t xml:space="preserve"> de su hija</w:t>
      </w:r>
      <w:r w:rsidR="005E227D">
        <w:t xml:space="preserve"> debe realizar mayores esfuerzos para permitir y facilitar la comunicación entre padre e hija. Sostiene que su hija solo ha viajado una vez a la Argentina, país de donde es originaria.</w:t>
      </w:r>
      <w:r w:rsidR="00AF7DDE">
        <w:t xml:space="preserve"> Además, señala que e</w:t>
      </w:r>
      <w:r w:rsidR="004E5C5B">
        <w:t xml:space="preserve">s absolutamente falsa la </w:t>
      </w:r>
      <w:r w:rsidR="0084462A">
        <w:t>declaración</w:t>
      </w:r>
      <w:r w:rsidR="004E5C5B">
        <w:t xml:space="preserve"> de la madre de C.R</w:t>
      </w:r>
      <w:r w:rsidR="0010171E">
        <w:t>.</w:t>
      </w:r>
      <w:r w:rsidR="004E5C5B">
        <w:t xml:space="preserve"> indicando que ha cumplido con el régimen de relacionamiento. Indica que esa declaración no ha sido acompañada de ninguna prueba y que</w:t>
      </w:r>
      <w:r w:rsidR="003923B6">
        <w:t>,</w:t>
      </w:r>
      <w:r w:rsidR="004E5C5B">
        <w:t xml:space="preserve"> hasta la fecha</w:t>
      </w:r>
      <w:r w:rsidR="003923B6">
        <w:t>,</w:t>
      </w:r>
      <w:r w:rsidR="004E5C5B">
        <w:t xml:space="preserve"> el padre no </w:t>
      </w:r>
      <w:r w:rsidR="007C3F1D">
        <w:t>recibido</w:t>
      </w:r>
      <w:r w:rsidR="004E5C5B">
        <w:t xml:space="preserve"> la visita de su hija en la Argentina, conforme a lo que pact</w:t>
      </w:r>
      <w:r w:rsidR="0084462A">
        <w:t>ó</w:t>
      </w:r>
      <w:r w:rsidR="004E5C5B">
        <w:t xml:space="preserve"> con la madre de la </w:t>
      </w:r>
      <w:r w:rsidR="0084462A">
        <w:t>niña</w:t>
      </w:r>
      <w:r w:rsidR="004E5C5B">
        <w:t>, y que solo se comunica esporádica</w:t>
      </w:r>
      <w:r w:rsidR="00BA3453">
        <w:t>mente con su hija por teléfono.</w:t>
      </w:r>
    </w:p>
    <w:p w14:paraId="2E3E49A1" w14:textId="014596A2" w:rsidR="0084462A" w:rsidRDefault="00476221" w:rsidP="005E612E">
      <w:pPr>
        <w:spacing w:after="120" w:line="240" w:lineRule="auto"/>
        <w:ind w:left="1134" w:right="1134"/>
        <w:jc w:val="both"/>
      </w:pPr>
      <w:r>
        <w:t>5.2</w:t>
      </w:r>
      <w:r w:rsidR="00F53805">
        <w:tab/>
      </w:r>
      <w:r w:rsidR="0084462A">
        <w:t xml:space="preserve">El autor observa que el Estado parte no ha efectuado ningún comentario respecto de su falta de colaboración para requerir a la madre de su hija el cumplimento de la sentencia. </w:t>
      </w:r>
      <w:r w:rsidR="0084462A">
        <w:lastRenderedPageBreak/>
        <w:t xml:space="preserve">Indica que a pesar de que el Código de la </w:t>
      </w:r>
      <w:r w:rsidR="005C17D5">
        <w:t>N</w:t>
      </w:r>
      <w:r w:rsidR="0084462A">
        <w:t xml:space="preserve">iñez y de la </w:t>
      </w:r>
      <w:r w:rsidR="005C17D5">
        <w:t>A</w:t>
      </w:r>
      <w:r w:rsidR="0084462A">
        <w:t>dolescencia establece plazos sumarios de seis días para dictar sentencia en primera instancia</w:t>
      </w:r>
      <w:r w:rsidR="00D2058E" w:rsidRPr="008A2BE1">
        <w:rPr>
          <w:rStyle w:val="FootnoteReference"/>
          <w:szCs w:val="18"/>
        </w:rPr>
        <w:footnoteReference w:id="18"/>
      </w:r>
      <w:r w:rsidR="009540C6">
        <w:t xml:space="preserve"> </w:t>
      </w:r>
      <w:r w:rsidR="0084462A">
        <w:t xml:space="preserve">y de </w:t>
      </w:r>
      <w:r w:rsidR="00514006">
        <w:t>diez</w:t>
      </w:r>
      <w:r w:rsidR="0084462A">
        <w:t xml:space="preserve"> </w:t>
      </w:r>
      <w:r w:rsidR="00CF0337">
        <w:t>días</w:t>
      </w:r>
      <w:r w:rsidR="0084462A">
        <w:t xml:space="preserve"> en segunda instancia, estos plazos no han sido respetados</w:t>
      </w:r>
      <w:r w:rsidR="00CF0337" w:rsidRPr="008A2BE1">
        <w:rPr>
          <w:rStyle w:val="FootnoteReference"/>
          <w:szCs w:val="18"/>
        </w:rPr>
        <w:footnoteReference w:id="19"/>
      </w:r>
      <w:r w:rsidR="0084462A">
        <w:t xml:space="preserve">. El autor ha tenido que plantear recursos de quejas por retardo de justicia contra los jueces de primera y segunda instancia. </w:t>
      </w:r>
      <w:r w:rsidR="008A2F31">
        <w:t>Señala</w:t>
      </w:r>
      <w:r w:rsidR="0084462A">
        <w:t xml:space="preserve"> que desde el 2</w:t>
      </w:r>
      <w:r w:rsidR="007F6003">
        <w:t>0</w:t>
      </w:r>
      <w:r w:rsidR="0084462A">
        <w:t xml:space="preserve"> de abril de 2017, fecha de entrada en vigor del Protocolo Facultativo para el Estado parte, la situación no ha mejorado</w:t>
      </w:r>
      <w:r w:rsidR="00BA3453">
        <w:t>.</w:t>
      </w:r>
    </w:p>
    <w:p w14:paraId="269B76DD" w14:textId="2C18FFCC" w:rsidR="00552575" w:rsidRDefault="00476221" w:rsidP="005E612E">
      <w:pPr>
        <w:spacing w:after="120" w:line="240" w:lineRule="auto"/>
        <w:ind w:left="1134" w:right="1134"/>
        <w:jc w:val="both"/>
      </w:pPr>
      <w:r>
        <w:t>5.3</w:t>
      </w:r>
      <w:r w:rsidR="00F53805">
        <w:tab/>
      </w:r>
      <w:r w:rsidR="00552575">
        <w:t xml:space="preserve">El autor señala que no solamente </w:t>
      </w:r>
      <w:r w:rsidR="005C17D5">
        <w:t>facilitó</w:t>
      </w:r>
      <w:r w:rsidR="00552575">
        <w:t xml:space="preserve"> una </w:t>
      </w:r>
      <w:r w:rsidR="007A348F">
        <w:t>t</w:t>
      </w:r>
      <w:r w:rsidR="00552575">
        <w:t>ablet</w:t>
      </w:r>
      <w:r w:rsidR="00042ECA">
        <w:t>a</w:t>
      </w:r>
      <w:r w:rsidR="00552575">
        <w:t xml:space="preserve"> a su hija para poder comunicarse, sino que, a petición de la madre, también </w:t>
      </w:r>
      <w:r w:rsidR="005C17D5">
        <w:t>proveyó</w:t>
      </w:r>
      <w:r w:rsidR="00552575">
        <w:t xml:space="preserve"> un m</w:t>
      </w:r>
      <w:r w:rsidR="007E5C0D">
        <w:t>ó</w:t>
      </w:r>
      <w:r w:rsidR="00552575">
        <w:t>dem para facilitar la conexión a Internet. Sin embargo, la comunicación entre padre e hija no mejor</w:t>
      </w:r>
      <w:r w:rsidR="005C17D5">
        <w:t>ó</w:t>
      </w:r>
      <w:r w:rsidR="00552575">
        <w:t xml:space="preserve">. El autor </w:t>
      </w:r>
      <w:r w:rsidR="005C17D5">
        <w:t xml:space="preserve">reitera que </w:t>
      </w:r>
      <w:r w:rsidR="00552575">
        <w:t xml:space="preserve">ha denunciado esta situación ante el Poder Judicial, encargado de ejecutar la sentencia, </w:t>
      </w:r>
      <w:r w:rsidR="00361986">
        <w:t xml:space="preserve">pero </w:t>
      </w:r>
      <w:r w:rsidR="005C17D5">
        <w:t xml:space="preserve">que </w:t>
      </w:r>
      <w:r w:rsidR="00552575">
        <w:t>no ha obtenido ninguna de las respuestas previstas en el sistema vigente en el Estado parte</w:t>
      </w:r>
      <w:r w:rsidR="00D8260A">
        <w:t>,</w:t>
      </w:r>
      <w:r w:rsidR="00552575">
        <w:t xml:space="preserve"> tales como la aplicación de multa, la remisión de los antecedentes al </w:t>
      </w:r>
      <w:r w:rsidR="00D8260A">
        <w:t>M</w:t>
      </w:r>
      <w:r w:rsidR="00552575">
        <w:t xml:space="preserve">inisterio </w:t>
      </w:r>
      <w:r w:rsidR="00D8260A">
        <w:t>P</w:t>
      </w:r>
      <w:r w:rsidR="00552575">
        <w:t>úblico para la apertura de un proceso por desacato</w:t>
      </w:r>
      <w:r w:rsidR="00361986">
        <w:t>,</w:t>
      </w:r>
      <w:r w:rsidR="00552575">
        <w:t xml:space="preserve"> o el cambio d</w:t>
      </w:r>
      <w:r w:rsidR="00BA3453">
        <w:t>el régimen de relacionamiento.</w:t>
      </w:r>
    </w:p>
    <w:p w14:paraId="352BB9CD" w14:textId="572EB802" w:rsidR="005F6E06" w:rsidRDefault="00476221" w:rsidP="005E612E">
      <w:pPr>
        <w:spacing w:after="120" w:line="240" w:lineRule="auto"/>
        <w:ind w:left="1134" w:right="1134"/>
        <w:jc w:val="both"/>
      </w:pPr>
      <w:r>
        <w:t>5.4</w:t>
      </w:r>
      <w:r w:rsidR="00F53805">
        <w:tab/>
      </w:r>
      <w:r w:rsidR="006D30AF" w:rsidRPr="006D30AF">
        <w:t>En relación con el agotamiento de los recursos internos, el autor alega</w:t>
      </w:r>
      <w:r w:rsidR="006D30AF">
        <w:t xml:space="preserve"> que el Estado parte ha omitido lo expuesto en la </w:t>
      </w:r>
      <w:r w:rsidR="00CF0337">
        <w:t>última</w:t>
      </w:r>
      <w:r w:rsidR="006D30AF">
        <w:t xml:space="preserve"> parte del art</w:t>
      </w:r>
      <w:r w:rsidR="00A35A24">
        <w:t>í</w:t>
      </w:r>
      <w:r w:rsidR="006D30AF">
        <w:t>culo 7</w:t>
      </w:r>
      <w:r w:rsidR="006A167B">
        <w:t>, apartado</w:t>
      </w:r>
      <w:r w:rsidR="006D30AF">
        <w:t xml:space="preserve"> </w:t>
      </w:r>
      <w:r w:rsidR="00CF0337">
        <w:t>e)</w:t>
      </w:r>
      <w:r w:rsidR="006A167B">
        <w:t>,</w:t>
      </w:r>
      <w:r w:rsidR="006D30AF">
        <w:t xml:space="preserve"> el cual dispone</w:t>
      </w:r>
      <w:r w:rsidR="005C17D5">
        <w:t>:</w:t>
      </w:r>
      <w:r w:rsidR="006D30AF">
        <w:t xml:space="preserve"> </w:t>
      </w:r>
      <w:r w:rsidR="00E177CD">
        <w:t>“</w:t>
      </w:r>
      <w:r w:rsidR="006D30AF">
        <w:t>salvo que la tramitación de esos recursos se prolongue injustificadamente o que sea improbable que con ello se obtenga una reparación definitiva</w:t>
      </w:r>
      <w:r w:rsidR="00E177CD">
        <w:t>”</w:t>
      </w:r>
      <w:r w:rsidR="006D30AF">
        <w:t xml:space="preserve">. Las peticiones del autor a las autoridades judiciales han caído siempre </w:t>
      </w:r>
      <w:r w:rsidR="00E177CD">
        <w:t>“</w:t>
      </w:r>
      <w:r w:rsidR="006D30AF">
        <w:t xml:space="preserve">en un </w:t>
      </w:r>
      <w:r w:rsidR="00CF0337">
        <w:t>trámite</w:t>
      </w:r>
      <w:r w:rsidR="006D30AF">
        <w:t xml:space="preserve"> ineficaz, inocuo e incapaz de lograr el cumplimiento de una sentencia pronunciada por jueces paraguayos que involucraba a un</w:t>
      </w:r>
      <w:r w:rsidR="00CF0337">
        <w:t>a</w:t>
      </w:r>
      <w:r w:rsidR="006D30AF">
        <w:t xml:space="preserve"> </w:t>
      </w:r>
      <w:r w:rsidR="00CF0337">
        <w:t>niña</w:t>
      </w:r>
      <w:r w:rsidR="006D30AF">
        <w:t xml:space="preserve"> y a su padre de nacionalidad argentina</w:t>
      </w:r>
      <w:r w:rsidR="00E177CD">
        <w:t>”</w:t>
      </w:r>
      <w:r w:rsidR="006D30AF">
        <w:t>.</w:t>
      </w:r>
      <w:r w:rsidR="00E67C1B" w:rsidRPr="00E67C1B">
        <w:t xml:space="preserve"> El autor alega que el incumplimiento reiterado de plazos demuestra que la jurisdicción paraguaya no está preparada para solucionar adecuadamente sus solicitudes ya que, pese a haberse dispuesto que se remita el expediente al Ministerio Publico para la apertura de un proceso por desacato, hasta la fecha no se había cumplido con dicha orden emitida por el voto en mayoría del Tribunal de Apelació</w:t>
      </w:r>
      <w:r w:rsidR="00BA3453">
        <w:t>n.</w:t>
      </w:r>
    </w:p>
    <w:p w14:paraId="6983CC2E" w14:textId="3DD49ABB" w:rsidR="004E5C5B" w:rsidRDefault="005C17D5" w:rsidP="005E612E">
      <w:pPr>
        <w:spacing w:after="120" w:line="240" w:lineRule="auto"/>
        <w:ind w:left="1134" w:right="1134"/>
        <w:jc w:val="both"/>
      </w:pPr>
      <w:r>
        <w:t>5.5</w:t>
      </w:r>
      <w:r w:rsidR="00F53805">
        <w:tab/>
      </w:r>
      <w:r>
        <w:t>El autor señala que, contrariamente a lo manife</w:t>
      </w:r>
      <w:r w:rsidR="00E67C1B">
        <w:t>stado por el Estado parte, no era</w:t>
      </w:r>
      <w:r>
        <w:t xml:space="preserve"> posible en su caso, utilizando la vía ordinaria</w:t>
      </w:r>
      <w:r w:rsidR="00361986">
        <w:t>,</w:t>
      </w:r>
      <w:r>
        <w:t xml:space="preserve"> acceder hasta la Corte Suprema de Justicia, y mucho menos cuando el recurso de apelación que interpuso fue admitido</w:t>
      </w:r>
      <w:r w:rsidR="00D2058E" w:rsidRPr="008A2BE1">
        <w:rPr>
          <w:rStyle w:val="FootnoteReference"/>
          <w:szCs w:val="18"/>
        </w:rPr>
        <w:footnoteReference w:id="20"/>
      </w:r>
      <w:r>
        <w:t xml:space="preserve">. </w:t>
      </w:r>
      <w:r w:rsidR="00D238FF">
        <w:t xml:space="preserve">Indica </w:t>
      </w:r>
      <w:r w:rsidR="00D4325D">
        <w:t xml:space="preserve">que ni el </w:t>
      </w:r>
      <w:r w:rsidR="00E220B5">
        <w:t>artículo</w:t>
      </w:r>
      <w:r w:rsidR="00D4325D">
        <w:t xml:space="preserve"> 28 del </w:t>
      </w:r>
      <w:r w:rsidR="00E220B5">
        <w:t>Código</w:t>
      </w:r>
      <w:r w:rsidR="00D4325D">
        <w:t xml:space="preserve"> de Organización Judicial</w:t>
      </w:r>
      <w:r w:rsidR="00AD46BA" w:rsidRPr="008A2BE1">
        <w:rPr>
          <w:rStyle w:val="FootnoteReference"/>
          <w:szCs w:val="18"/>
        </w:rPr>
        <w:footnoteReference w:id="21"/>
      </w:r>
      <w:r w:rsidR="00361986">
        <w:t>,</w:t>
      </w:r>
      <w:r w:rsidR="00D4325D">
        <w:t xml:space="preserve"> ni la </w:t>
      </w:r>
      <w:r w:rsidR="00AF1A77">
        <w:t>L</w:t>
      </w:r>
      <w:r w:rsidR="00D4325D">
        <w:t>ey 609/1995</w:t>
      </w:r>
      <w:r w:rsidR="00970F1B">
        <w:t xml:space="preserve"> que organiza la Corte Suprema de Justicia</w:t>
      </w:r>
      <w:r w:rsidR="00361986">
        <w:t>,</w:t>
      </w:r>
      <w:r w:rsidR="00D4325D">
        <w:t xml:space="preserve"> </w:t>
      </w:r>
      <w:r w:rsidR="00E220B5">
        <w:t>disponen</w:t>
      </w:r>
      <w:r w:rsidR="00D4325D">
        <w:t xml:space="preserve"> que</w:t>
      </w:r>
      <w:r w:rsidR="00E220B5">
        <w:t xml:space="preserve"> los</w:t>
      </w:r>
      <w:r w:rsidR="00D4325D">
        <w:t xml:space="preserve"> casos de </w:t>
      </w:r>
      <w:r w:rsidR="00E220B5">
        <w:t>niñez</w:t>
      </w:r>
      <w:r w:rsidR="00D4325D">
        <w:t xml:space="preserve"> tengan que llegar ante </w:t>
      </w:r>
      <w:r w:rsidR="00970F1B">
        <w:t>dicha Corte</w:t>
      </w:r>
      <w:r w:rsidR="00970F1B" w:rsidRPr="008A2BE1">
        <w:rPr>
          <w:rStyle w:val="FootnoteReference"/>
          <w:szCs w:val="18"/>
        </w:rPr>
        <w:footnoteReference w:id="22"/>
      </w:r>
      <w:r w:rsidR="00D4325D">
        <w:t xml:space="preserve">. El autor reitera que es la parte demandada (madre de su hija), quien </w:t>
      </w:r>
      <w:r w:rsidR="00E220B5">
        <w:t>eventualmente</w:t>
      </w:r>
      <w:r w:rsidR="00D4325D">
        <w:t xml:space="preserve"> podría haber llegado a cuestionar el fallo del Tribunal de </w:t>
      </w:r>
      <w:r w:rsidR="00E220B5">
        <w:t>Apelación</w:t>
      </w:r>
      <w:r w:rsidR="00D4325D">
        <w:t xml:space="preserve">, y al no haberlo hecho, esta resolución </w:t>
      </w:r>
      <w:r w:rsidR="00E220B5">
        <w:t>adquirió</w:t>
      </w:r>
      <w:r w:rsidR="00D4325D">
        <w:t xml:space="preserve"> la fuerza necesaria para su ejecución ante los reiterados incumplimientos de la madre al régimen de relacionamiento y la inacción del Estado paraguayo pese a los numerosos reclamos efectuados por el autor. </w:t>
      </w:r>
      <w:r w:rsidR="00361986">
        <w:t>D</w:t>
      </w:r>
      <w:r w:rsidR="00A11467">
        <w:t>e lo transcrito</w:t>
      </w:r>
      <w:r w:rsidR="00361986">
        <w:t>,</w:t>
      </w:r>
      <w:r w:rsidR="00A11467">
        <w:t xml:space="preserve"> no se prevé que un</w:t>
      </w:r>
      <w:r w:rsidR="002B4C9F">
        <w:t xml:space="preserve"> </w:t>
      </w:r>
      <w:r w:rsidR="00A11467">
        <w:t xml:space="preserve">incidente sea recurrible ante la tercera instancia ni siquiera aplicando las normas supletorias del </w:t>
      </w:r>
      <w:r w:rsidR="002B4C9F">
        <w:t>Código</w:t>
      </w:r>
      <w:r w:rsidR="00A11467">
        <w:t xml:space="preserve"> Procesal </w:t>
      </w:r>
      <w:r w:rsidR="00F6420E">
        <w:t>C</w:t>
      </w:r>
      <w:r w:rsidR="00A11467">
        <w:t xml:space="preserve">ivil. La resolución del </w:t>
      </w:r>
      <w:r w:rsidR="00384AAA">
        <w:t>T</w:t>
      </w:r>
      <w:r w:rsidR="00A11467">
        <w:t xml:space="preserve">ribunal de </w:t>
      </w:r>
      <w:r w:rsidR="00384AAA">
        <w:t>A</w:t>
      </w:r>
      <w:r w:rsidR="00A11467">
        <w:t>pelación no es originaria de dicha</w:t>
      </w:r>
      <w:r w:rsidR="006806FA">
        <w:t xml:space="preserve"> </w:t>
      </w:r>
      <w:r w:rsidR="00A11467">
        <w:t>instancia</w:t>
      </w:r>
      <w:r w:rsidR="00361986">
        <w:t>,</w:t>
      </w:r>
      <w:r w:rsidR="00A11467">
        <w:t xml:space="preserve"> sino que fue emitida en el marco de una apelación </w:t>
      </w:r>
      <w:r w:rsidR="002B4C9F">
        <w:t>contra un auto</w:t>
      </w:r>
      <w:r w:rsidR="00A11467">
        <w:t xml:space="preserve"> interlocutorio de primera instancia, por lo que resulta aplicable el artículo 403 del Código Procesal Civil</w:t>
      </w:r>
      <w:r w:rsidR="00A11467" w:rsidRPr="008A2BE1">
        <w:rPr>
          <w:rStyle w:val="FootnoteReference"/>
          <w:szCs w:val="18"/>
        </w:rPr>
        <w:footnoteReference w:id="23"/>
      </w:r>
      <w:r w:rsidR="00A11467">
        <w:t xml:space="preserve">. </w:t>
      </w:r>
    </w:p>
    <w:p w14:paraId="003CF155" w14:textId="3DC06C36" w:rsidR="00D4325D" w:rsidRDefault="00C30794" w:rsidP="005E612E">
      <w:pPr>
        <w:spacing w:after="120" w:line="240" w:lineRule="auto"/>
        <w:ind w:left="1134" w:right="1134"/>
        <w:jc w:val="both"/>
      </w:pPr>
      <w:r>
        <w:lastRenderedPageBreak/>
        <w:t>5.</w:t>
      </w:r>
      <w:r w:rsidR="00E67C1B">
        <w:t>6</w:t>
      </w:r>
      <w:r w:rsidR="001464F4">
        <w:tab/>
      </w:r>
      <w:r w:rsidR="006806FA">
        <w:t xml:space="preserve">Además, el autor señala que </w:t>
      </w:r>
      <w:r w:rsidR="00147F55">
        <w:t>las</w:t>
      </w:r>
      <w:r w:rsidR="006806FA">
        <w:t xml:space="preserve"> solicitudes efectuadas a la Secretar</w:t>
      </w:r>
      <w:r w:rsidR="006C46ED">
        <w:t>í</w:t>
      </w:r>
      <w:r w:rsidR="006806FA">
        <w:t xml:space="preserve">a de la </w:t>
      </w:r>
      <w:r w:rsidR="006C46ED">
        <w:t>N</w:t>
      </w:r>
      <w:r w:rsidR="006806FA">
        <w:t xml:space="preserve">iñez y la </w:t>
      </w:r>
      <w:r w:rsidR="006C46ED">
        <w:t>A</w:t>
      </w:r>
      <w:r w:rsidR="006806FA">
        <w:t xml:space="preserve">dolescencia del Estado parte y al colegio privado </w:t>
      </w:r>
      <w:r>
        <w:t xml:space="preserve">San José </w:t>
      </w:r>
      <w:r w:rsidR="006806FA">
        <w:t xml:space="preserve">donde estudia su hija para que facilite el relacionamiento con </w:t>
      </w:r>
      <w:r w:rsidR="00361986">
        <w:t>ella</w:t>
      </w:r>
      <w:r w:rsidR="006806FA">
        <w:t xml:space="preserve"> no han sido nunc</w:t>
      </w:r>
      <w:r w:rsidR="00BA3453">
        <w:t>a atendidas.</w:t>
      </w:r>
    </w:p>
    <w:p w14:paraId="4B71E351" w14:textId="0220FA99" w:rsidR="001A50FD" w:rsidRDefault="00DB4C7B" w:rsidP="005E612E">
      <w:pPr>
        <w:spacing w:after="120" w:line="240" w:lineRule="auto"/>
        <w:ind w:left="1134" w:right="1134"/>
        <w:jc w:val="both"/>
      </w:pPr>
      <w:r>
        <w:t>5.</w:t>
      </w:r>
      <w:r w:rsidR="00E67C1B">
        <w:t>7</w:t>
      </w:r>
      <w:r w:rsidR="001464F4">
        <w:tab/>
      </w:r>
      <w:r w:rsidR="00132ABA">
        <w:t>El autor mantiene que pesar de</w:t>
      </w:r>
      <w:r w:rsidR="00E737B8">
        <w:t xml:space="preserve"> que</w:t>
      </w:r>
      <w:r w:rsidR="00784253">
        <w:t xml:space="preserve"> el 30 de mayo de 2018,</w:t>
      </w:r>
      <w:r w:rsidR="00E737B8">
        <w:t xml:space="preserve"> el Estado parte </w:t>
      </w:r>
      <w:r w:rsidR="00784253">
        <w:t>promulgó</w:t>
      </w:r>
      <w:r w:rsidR="00E737B8">
        <w:t xml:space="preserve"> la Ley 6038/2018</w:t>
      </w:r>
      <w:r w:rsidR="00147F55">
        <w:t>, la cual modifica el Código de la Niñez y la Adolescencia,</w:t>
      </w:r>
      <w:r w:rsidR="00784253">
        <w:t xml:space="preserve"> aún</w:t>
      </w:r>
      <w:r w:rsidR="00147F55">
        <w:t xml:space="preserve"> </w:t>
      </w:r>
      <w:r w:rsidR="00E737B8">
        <w:t xml:space="preserve">persiste la situación de incumplimiento </w:t>
      </w:r>
      <w:r w:rsidR="00784253">
        <w:t xml:space="preserve">de la sentencia </w:t>
      </w:r>
      <w:r w:rsidR="00E737B8">
        <w:t xml:space="preserve">y las dificultades para que se pueda relacionar con su hija. El autor se refiere a </w:t>
      </w:r>
      <w:r w:rsidR="005D7AA3">
        <w:t xml:space="preserve">un dictamen </w:t>
      </w:r>
      <w:r w:rsidR="00AA6C35">
        <w:t xml:space="preserve">del </w:t>
      </w:r>
      <w:r w:rsidR="00784253" w:rsidRPr="00784253">
        <w:t>Comité de Derechos Humanos</w:t>
      </w:r>
      <w:r w:rsidR="00784253">
        <w:t xml:space="preserve">, según </w:t>
      </w:r>
      <w:r w:rsidR="005D7AA3">
        <w:t>e</w:t>
      </w:r>
      <w:r w:rsidR="00784253">
        <w:t>l cual el Comité observó que</w:t>
      </w:r>
      <w:r w:rsidR="008A2BE1">
        <w:t>:</w:t>
      </w:r>
    </w:p>
    <w:p w14:paraId="217471D3" w14:textId="6540D21F" w:rsidR="001A50FD" w:rsidRDefault="00784253" w:rsidP="00AC0BD3">
      <w:pPr>
        <w:spacing w:after="120" w:line="240" w:lineRule="auto"/>
        <w:ind w:left="1701" w:right="1134"/>
        <w:jc w:val="both"/>
      </w:pPr>
      <w:r>
        <w:t>el autor consiguió autorización judicial para que las niñas pasaran unos días con él, autorización que resultó infructuosa ante la negativa de la madre. Las autoridades no tomaron medidas para que la exesposa del autor cumpliera con la orden judicial</w:t>
      </w:r>
      <w:r w:rsidRPr="008A2BE1">
        <w:rPr>
          <w:rStyle w:val="FootnoteReference"/>
          <w:szCs w:val="18"/>
        </w:rPr>
        <w:footnoteReference w:id="24"/>
      </w:r>
      <w:r w:rsidR="001A50FD">
        <w:t>.</w:t>
      </w:r>
    </w:p>
    <w:p w14:paraId="3D02FD94" w14:textId="1606E463" w:rsidR="006D30AF" w:rsidRDefault="00784253" w:rsidP="005E612E">
      <w:pPr>
        <w:spacing w:after="120" w:line="240" w:lineRule="auto"/>
        <w:ind w:left="1134" w:right="1134"/>
        <w:jc w:val="both"/>
      </w:pPr>
      <w:r>
        <w:t>El Comité concluy</w:t>
      </w:r>
      <w:r w:rsidR="00810664">
        <w:t>ó</w:t>
      </w:r>
      <w:r>
        <w:t xml:space="preserve"> que el Estado parte no había tomado las medidas necesarias para garantizar el derecho a la protección de la familia en virtud del artículo 23 del Pacto, a </w:t>
      </w:r>
      <w:r w:rsidR="00BA3453">
        <w:t>favor del autor y de sus hijas.</w:t>
      </w:r>
      <w:r>
        <w:t xml:space="preserve"> </w:t>
      </w:r>
      <w:r w:rsidR="000C7A03">
        <w:t>Igualmente, se refiere a la</w:t>
      </w:r>
      <w:r>
        <w:t xml:space="preserve"> </w:t>
      </w:r>
      <w:r w:rsidR="00E737B8">
        <w:t>jurisprudencia del Comité de Derechos Humanos para argumentar que el derecho a un juicio justo incluye el derecho a un pronunciamiento jurisdiccional sin dilación y que la naturaleza misma de los procedimientos relativos a la guarda o derecho de visita de progenitor divorciado a sus hijos exige que las cuestiones que han suscitado la denuncia sean resueltas con prontitud</w:t>
      </w:r>
      <w:r w:rsidR="00E737B8" w:rsidRPr="008A2BE1">
        <w:rPr>
          <w:rStyle w:val="FootnoteReference"/>
          <w:szCs w:val="18"/>
        </w:rPr>
        <w:footnoteReference w:id="25"/>
      </w:r>
      <w:r w:rsidR="00212E5F">
        <w:t>.</w:t>
      </w:r>
    </w:p>
    <w:p w14:paraId="36C6FD58" w14:textId="366D935B" w:rsidR="004E5C5B" w:rsidRPr="00414057" w:rsidRDefault="004815B3" w:rsidP="00BD277E">
      <w:pPr>
        <w:spacing w:after="120" w:line="240" w:lineRule="auto"/>
        <w:ind w:left="1134" w:right="1134"/>
        <w:jc w:val="both"/>
      </w:pPr>
      <w:r>
        <w:t>5.</w:t>
      </w:r>
      <w:r w:rsidR="00E67C1B">
        <w:t>8</w:t>
      </w:r>
      <w:r w:rsidR="001464F4">
        <w:tab/>
      </w:r>
      <w:r w:rsidR="00711A36">
        <w:t xml:space="preserve">El autor solicita que el Estado parte provea asistencia psicológica gratuita a su hija y a su madre de manera a facilitar el relacionamiento y evitar el surgimiento de nuevos conflictos familiares. Asimismo, solicita al Estado parte la adopción de las medidas previstas en el nuevo artículo 96 del Código de la Niñez y la Adolescencia, la Ley 4711 que regula el desacato, y el articulo 236 del </w:t>
      </w:r>
      <w:r w:rsidR="003B7E8C">
        <w:t>Código</w:t>
      </w:r>
      <w:r w:rsidR="00711A36">
        <w:t xml:space="preserve"> de Organización Judicial que impone multas a los litigantes por incumplimiento de las disposiciones judiciales hasta tanto la madre permita el viaje de su hija a la Argentina para ver a su padre. </w:t>
      </w:r>
    </w:p>
    <w:p w14:paraId="0AF1F463" w14:textId="77777777" w:rsidR="00471A57" w:rsidRPr="00113920" w:rsidRDefault="00471A57" w:rsidP="00471A57">
      <w:pPr>
        <w:pStyle w:val="H23G"/>
      </w:pPr>
      <w:r>
        <w:tab/>
      </w:r>
      <w:r>
        <w:tab/>
      </w:r>
      <w:r w:rsidR="00CF6A85" w:rsidRPr="00B65B2E">
        <w:t>Informaciones adicionales presentadas por el autor</w:t>
      </w:r>
    </w:p>
    <w:p w14:paraId="7F391E27" w14:textId="305E44E2" w:rsidR="00FA5001" w:rsidRDefault="00476221" w:rsidP="00AC0BD3">
      <w:pPr>
        <w:pStyle w:val="SingleTxtG"/>
      </w:pPr>
      <w:r>
        <w:t>6.1</w:t>
      </w:r>
      <w:r w:rsidR="00471A57">
        <w:tab/>
        <w:t>En sus observaciones de</w:t>
      </w:r>
      <w:r w:rsidR="00CF6A85">
        <w:t>l</w:t>
      </w:r>
      <w:r w:rsidR="00471A57">
        <w:t xml:space="preserve"> </w:t>
      </w:r>
      <w:r w:rsidR="00CF6A85">
        <w:t>5</w:t>
      </w:r>
      <w:r w:rsidR="00471A57" w:rsidRPr="006735E6">
        <w:t xml:space="preserve"> de marzo de 201</w:t>
      </w:r>
      <w:r w:rsidR="00CF6A85">
        <w:t>9</w:t>
      </w:r>
      <w:r w:rsidR="00471A57" w:rsidRPr="006735E6">
        <w:t>,</w:t>
      </w:r>
      <w:r w:rsidR="00471A57" w:rsidRPr="00266C4A">
        <w:t xml:space="preserve"> el </w:t>
      </w:r>
      <w:r w:rsidR="00CF6A85">
        <w:t xml:space="preserve">autor </w:t>
      </w:r>
      <w:r w:rsidR="00045ECD">
        <w:t xml:space="preserve">solicita nuevamente una medida cautelar consistente en que </w:t>
      </w:r>
      <w:r w:rsidR="00B65B2E">
        <w:t>el Comité requiera a</w:t>
      </w:r>
      <w:r w:rsidR="00045ECD">
        <w:t xml:space="preserve">l Estado parte </w:t>
      </w:r>
      <w:r w:rsidR="00B65B2E">
        <w:t xml:space="preserve">imponer </w:t>
      </w:r>
      <w:r w:rsidR="00045ECD">
        <w:t xml:space="preserve">una multa a la madre de su hija por cada día que no garantice la comunicación entre el autor y su hija. </w:t>
      </w:r>
      <w:r w:rsidR="00B65B2E">
        <w:t xml:space="preserve">Además, el </w:t>
      </w:r>
      <w:r w:rsidR="00045ECD">
        <w:t xml:space="preserve">autor informa que el 31 de diciembre de 2018, </w:t>
      </w:r>
      <w:r w:rsidR="00C17C1A">
        <w:t>alcanzó</w:t>
      </w:r>
      <w:r w:rsidR="00045ECD">
        <w:t xml:space="preserve"> un acuerdo con la madre de su hija </w:t>
      </w:r>
      <w:r w:rsidR="00C17C1A">
        <w:t>para</w:t>
      </w:r>
      <w:r w:rsidR="00045ECD">
        <w:t xml:space="preserve"> modificar el régimen de relacionamiento en el juicio promovido ante el </w:t>
      </w:r>
      <w:r w:rsidR="00970CF6">
        <w:t>Juzgado</w:t>
      </w:r>
      <w:r w:rsidR="00045ECD">
        <w:t xml:space="preserve"> </w:t>
      </w:r>
      <w:r w:rsidR="00970CF6">
        <w:t>d</w:t>
      </w:r>
      <w:r w:rsidR="00045ECD">
        <w:t xml:space="preserve">e la </w:t>
      </w:r>
      <w:r w:rsidR="00446CC8">
        <w:t>N</w:t>
      </w:r>
      <w:r w:rsidR="00045ECD">
        <w:t xml:space="preserve">iñez y la </w:t>
      </w:r>
      <w:r w:rsidR="00446CC8">
        <w:t>A</w:t>
      </w:r>
      <w:r w:rsidR="00045ECD">
        <w:t xml:space="preserve">dolescencia de la ciudad de </w:t>
      </w:r>
      <w:r w:rsidR="00C17C1A">
        <w:t>Luque</w:t>
      </w:r>
      <w:r w:rsidR="00045ECD">
        <w:t xml:space="preserve">, lugar donde reside la </w:t>
      </w:r>
      <w:r w:rsidR="00970CF6">
        <w:t>niña</w:t>
      </w:r>
      <w:r w:rsidR="00045ECD">
        <w:t xml:space="preserve"> actualmente. Sin embargo, el acuerdo no fue respetado. </w:t>
      </w:r>
    </w:p>
    <w:p w14:paraId="4D46B41B" w14:textId="37B617CB" w:rsidR="008F4EA0" w:rsidRDefault="00476221" w:rsidP="00476221">
      <w:pPr>
        <w:spacing w:after="120" w:line="240" w:lineRule="auto"/>
        <w:ind w:left="1134" w:right="1134"/>
        <w:jc w:val="both"/>
      </w:pPr>
      <w:r>
        <w:t>6.2</w:t>
      </w:r>
      <w:r w:rsidR="001464F4">
        <w:tab/>
      </w:r>
      <w:r w:rsidR="00045ECD">
        <w:t>En enero de 2019, la madre arbitrariamente decidió bloquear las llamadas del autor y su hija no viaj</w:t>
      </w:r>
      <w:r w:rsidR="00FA5001">
        <w:t>ó</w:t>
      </w:r>
      <w:r w:rsidR="00045ECD">
        <w:t xml:space="preserve"> a </w:t>
      </w:r>
      <w:r w:rsidR="009D1360">
        <w:t xml:space="preserve">la </w:t>
      </w:r>
      <w:r w:rsidR="00045ECD">
        <w:t>Argentina</w:t>
      </w:r>
      <w:r w:rsidR="00FA5001">
        <w:t xml:space="preserve"> para visitarl</w:t>
      </w:r>
      <w:r w:rsidR="005F057D">
        <w:t>o</w:t>
      </w:r>
      <w:r w:rsidR="00045ECD">
        <w:t xml:space="preserve"> como estaba previsto. </w:t>
      </w:r>
      <w:r w:rsidR="00F731B3">
        <w:t xml:space="preserve">El </w:t>
      </w:r>
      <w:r w:rsidR="00FA5001">
        <w:t>1 de febrero de 2019</w:t>
      </w:r>
      <w:r w:rsidR="00B65B2E">
        <w:t>,</w:t>
      </w:r>
      <w:r w:rsidR="00FA5001">
        <w:t xml:space="preserve"> el a</w:t>
      </w:r>
      <w:r w:rsidR="00F731B3">
        <w:t>cuerdo</w:t>
      </w:r>
      <w:r w:rsidR="008D769A">
        <w:t xml:space="preserve"> modificando el régimen de relacionamiento</w:t>
      </w:r>
      <w:r w:rsidR="00F731B3">
        <w:t xml:space="preserve"> se </w:t>
      </w:r>
      <w:r w:rsidR="00970CF6">
        <w:t>presentó</w:t>
      </w:r>
      <w:r w:rsidR="00F731B3">
        <w:t xml:space="preserve"> ante el Juzgado. </w:t>
      </w:r>
    </w:p>
    <w:p w14:paraId="2C78460D" w14:textId="77296ADD" w:rsidR="00CF6A85" w:rsidRDefault="00476221" w:rsidP="00476221">
      <w:pPr>
        <w:spacing w:after="120" w:line="240" w:lineRule="auto"/>
        <w:ind w:left="1134" w:right="1134"/>
        <w:jc w:val="both"/>
      </w:pPr>
      <w:r>
        <w:t>6.3</w:t>
      </w:r>
      <w:r w:rsidR="001464F4">
        <w:tab/>
      </w:r>
      <w:r w:rsidR="008F4EA0">
        <w:t>El 20 de febrero de 2019, e</w:t>
      </w:r>
      <w:r w:rsidR="00F731B3">
        <w:t xml:space="preserve">l autor </w:t>
      </w:r>
      <w:r w:rsidR="008F4EA0">
        <w:t>solicitó</w:t>
      </w:r>
      <w:r w:rsidR="00F731B3">
        <w:t xml:space="preserve"> ante el Juzgado </w:t>
      </w:r>
      <w:r w:rsidR="009F155E">
        <w:t xml:space="preserve">de </w:t>
      </w:r>
      <w:r w:rsidR="008F4EA0">
        <w:t xml:space="preserve">la Niñez y la Adolescencia </w:t>
      </w:r>
      <w:r w:rsidR="00F731B3">
        <w:t xml:space="preserve">de </w:t>
      </w:r>
      <w:r w:rsidR="00970CF6">
        <w:t>Asunción</w:t>
      </w:r>
      <w:r w:rsidR="00F731B3">
        <w:t xml:space="preserve"> </w:t>
      </w:r>
      <w:r w:rsidR="008F4EA0">
        <w:t>la aplicación de</w:t>
      </w:r>
      <w:r w:rsidR="00F731B3">
        <w:t xml:space="preserve"> las medidas previstas en el</w:t>
      </w:r>
      <w:r w:rsidR="008F4EA0">
        <w:t xml:space="preserve"> </w:t>
      </w:r>
      <w:r w:rsidR="00931C0D">
        <w:t>artículo</w:t>
      </w:r>
      <w:r w:rsidR="00F731B3">
        <w:t xml:space="preserve"> 96 del </w:t>
      </w:r>
      <w:r w:rsidR="00931C0D">
        <w:t>Código</w:t>
      </w:r>
      <w:r w:rsidR="00F731B3">
        <w:t xml:space="preserve"> de la </w:t>
      </w:r>
      <w:r w:rsidR="00931C0D">
        <w:t>Niñez</w:t>
      </w:r>
      <w:r w:rsidR="00F731B3">
        <w:t xml:space="preserve"> y la Adolescencia. </w:t>
      </w:r>
      <w:r w:rsidR="00C974CA">
        <w:t xml:space="preserve">El autor señala que el Juzgado </w:t>
      </w:r>
      <w:r w:rsidR="00CE1F18">
        <w:t>incumplió</w:t>
      </w:r>
      <w:r w:rsidR="00C974CA">
        <w:t xml:space="preserve"> el plazo de tres días y hasta la fecha no </w:t>
      </w:r>
      <w:r w:rsidR="0017773B">
        <w:t>había</w:t>
      </w:r>
      <w:r w:rsidR="00C974CA">
        <w:t xml:space="preserve"> convocado la audiencia. </w:t>
      </w:r>
      <w:r w:rsidR="00D549D6">
        <w:t>S</w:t>
      </w:r>
      <w:r w:rsidR="00765DD5">
        <w:t>ostiene que,</w:t>
      </w:r>
      <w:r w:rsidR="00C974CA">
        <w:t xml:space="preserve"> por el contrario, previamente había apercibido al autor por el incumplimiento del régimen de visita</w:t>
      </w:r>
      <w:r w:rsidR="001E5D96">
        <w:t>s</w:t>
      </w:r>
      <w:r w:rsidR="00C974CA">
        <w:t>, cuando esta situación no se había planteado en el expediente</w:t>
      </w:r>
      <w:r w:rsidR="0039550C" w:rsidRPr="008A2BE1">
        <w:rPr>
          <w:rStyle w:val="FootnoteReference"/>
          <w:szCs w:val="18"/>
        </w:rPr>
        <w:footnoteReference w:id="26"/>
      </w:r>
      <w:r w:rsidR="00C974CA">
        <w:t xml:space="preserve">. El autor explica al respecto </w:t>
      </w:r>
      <w:r w:rsidR="00765DD5">
        <w:t>que,</w:t>
      </w:r>
      <w:r w:rsidR="00C974CA">
        <w:t xml:space="preserve"> debido a la difícil situación económica argentina y a</w:t>
      </w:r>
      <w:r w:rsidR="00B65B2E">
        <w:t>l hecho de que no tenga</w:t>
      </w:r>
      <w:r w:rsidR="00C974CA">
        <w:t xml:space="preserve"> vacaciones, no pudo venir como hubiera deseado a ver a su hija, sin que ello </w:t>
      </w:r>
      <w:r w:rsidR="00B65B2E">
        <w:t>atenúe</w:t>
      </w:r>
      <w:r w:rsidR="00C974CA">
        <w:t xml:space="preserve"> su deseo de estar presente y de relacionarse con ella telefónicamente. </w:t>
      </w:r>
      <w:r w:rsidR="00D549D6">
        <w:t>S</w:t>
      </w:r>
      <w:r w:rsidR="00ED4204">
        <w:t>eñala</w:t>
      </w:r>
      <w:r w:rsidR="00765DD5">
        <w:t xml:space="preserve"> que no </w:t>
      </w:r>
      <w:r w:rsidR="00B65B2E">
        <w:t xml:space="preserve">tiene </w:t>
      </w:r>
      <w:r w:rsidR="00765DD5">
        <w:t xml:space="preserve">comunicación </w:t>
      </w:r>
      <w:r w:rsidR="00B65B2E">
        <w:t xml:space="preserve">con </w:t>
      </w:r>
      <w:r w:rsidR="00B65B2E">
        <w:lastRenderedPageBreak/>
        <w:t>su</w:t>
      </w:r>
      <w:r w:rsidR="00765DD5">
        <w:t xml:space="preserve"> hija</w:t>
      </w:r>
      <w:r w:rsidR="00ED4204">
        <w:t>, como queda reflejado en el registro de llamadas de WhatsApp no atendidas por la madre.</w:t>
      </w:r>
      <w:r w:rsidR="00765DD5">
        <w:t xml:space="preserve"> </w:t>
      </w:r>
      <w:r w:rsidR="00956821">
        <w:t>Reitera</w:t>
      </w:r>
      <w:r w:rsidR="00ED4204">
        <w:t xml:space="preserve"> que a pesar de haber facilitado un m</w:t>
      </w:r>
      <w:r w:rsidR="001E5D96">
        <w:t>ó</w:t>
      </w:r>
      <w:r w:rsidR="00ED4204">
        <w:t xml:space="preserve">dem para la conexión </w:t>
      </w:r>
      <w:r w:rsidR="00FC200D">
        <w:t>I</w:t>
      </w:r>
      <w:r w:rsidR="00ED4204">
        <w:t>nternet, sigue sin haber comunicación. Reitera</w:t>
      </w:r>
      <w:r w:rsidR="00956821">
        <w:t xml:space="preserve"> también</w:t>
      </w:r>
      <w:r w:rsidR="00ED4204">
        <w:t xml:space="preserve"> que a pesar de haber denunciado esta situación ante el </w:t>
      </w:r>
      <w:r w:rsidR="00DA3BA4">
        <w:t>P</w:t>
      </w:r>
      <w:r w:rsidR="00ED4204">
        <w:t xml:space="preserve">oder Judicial, sigue sin obtener ninguna de las respuestas previstas en el sistema vigente. </w:t>
      </w:r>
    </w:p>
    <w:p w14:paraId="1D243D30" w14:textId="77777777" w:rsidR="004956FF" w:rsidRPr="004346D5" w:rsidRDefault="004204AD" w:rsidP="00476221">
      <w:pPr>
        <w:spacing w:after="120" w:line="240" w:lineRule="auto"/>
        <w:ind w:left="1134" w:right="1134"/>
        <w:jc w:val="both"/>
      </w:pPr>
      <w:r>
        <w:t>6.</w:t>
      </w:r>
      <w:r w:rsidR="00DB1348">
        <w:t>4</w:t>
      </w:r>
      <w:r w:rsidR="001464F4">
        <w:tab/>
      </w:r>
      <w:r w:rsidR="004956FF" w:rsidRPr="004346D5">
        <w:t>En sus observaciones del 29 de agosto de 2019,</w:t>
      </w:r>
      <w:r w:rsidR="004346D5">
        <w:t xml:space="preserve"> el autor </w:t>
      </w:r>
      <w:r>
        <w:t>señala</w:t>
      </w:r>
      <w:r w:rsidR="004346D5">
        <w:t xml:space="preserve"> que las autoridades del Estado parte continúan negándose a ejecutar adecuadamente la sentencia pronunciada por los tribunales. </w:t>
      </w:r>
    </w:p>
    <w:p w14:paraId="124C1376" w14:textId="0AF591F4" w:rsidR="00B921EA" w:rsidRDefault="00565F43" w:rsidP="00476221">
      <w:pPr>
        <w:spacing w:after="120" w:line="240" w:lineRule="auto"/>
        <w:ind w:left="1134" w:right="1134"/>
        <w:jc w:val="both"/>
      </w:pPr>
      <w:r>
        <w:t>6.</w:t>
      </w:r>
      <w:r w:rsidR="00DB1348">
        <w:t>5</w:t>
      </w:r>
      <w:r w:rsidR="001464F4">
        <w:tab/>
      </w:r>
      <w:r w:rsidR="004346D5">
        <w:t>El 11 de marzo de 2019, el Juzgado</w:t>
      </w:r>
      <w:r>
        <w:t xml:space="preserve"> de la Niñez y la Adolescencia</w:t>
      </w:r>
      <w:r w:rsidR="004346D5">
        <w:t xml:space="preserve"> </w:t>
      </w:r>
      <w:r w:rsidR="00992152">
        <w:t>convoc</w:t>
      </w:r>
      <w:r>
        <w:t>ó</w:t>
      </w:r>
      <w:r w:rsidR="00992152">
        <w:t xml:space="preserve"> una audiencia </w:t>
      </w:r>
      <w:r>
        <w:t xml:space="preserve">el </w:t>
      </w:r>
      <w:r w:rsidR="00992152">
        <w:t>18 de marzo de 2019</w:t>
      </w:r>
      <w:r w:rsidR="00B65B2E">
        <w:t xml:space="preserve">, en violación una vez más el principio de rapidez previsto en la </w:t>
      </w:r>
      <w:r w:rsidR="00267402">
        <w:t>L</w:t>
      </w:r>
      <w:r w:rsidR="00B65B2E">
        <w:t>ey 6038/2018</w:t>
      </w:r>
      <w:r w:rsidR="00992152">
        <w:t>. Durante la audiencia</w:t>
      </w:r>
      <w:r w:rsidR="00B65B2E">
        <w:t>,</w:t>
      </w:r>
      <w:r w:rsidR="00992152">
        <w:t xml:space="preserve"> la madre de su hija negó los hechos y no se expidió sobre las pruebas documentales agregadas al expediente</w:t>
      </w:r>
      <w:r w:rsidR="00A76873" w:rsidRPr="008A2BE1">
        <w:rPr>
          <w:rStyle w:val="FootnoteReference"/>
          <w:szCs w:val="18"/>
        </w:rPr>
        <w:footnoteReference w:id="27"/>
      </w:r>
      <w:r w:rsidR="00992152">
        <w:t xml:space="preserve">. </w:t>
      </w:r>
    </w:p>
    <w:p w14:paraId="0B93521D" w14:textId="69509FBB" w:rsidR="00B921EA" w:rsidRDefault="00DB1BBB" w:rsidP="00051054">
      <w:pPr>
        <w:spacing w:after="120" w:line="240" w:lineRule="auto"/>
        <w:ind w:left="1134" w:right="1134"/>
        <w:jc w:val="both"/>
      </w:pPr>
      <w:r>
        <w:t>6.</w:t>
      </w:r>
      <w:r w:rsidR="00DB1348">
        <w:t>6</w:t>
      </w:r>
      <w:r w:rsidR="001464F4">
        <w:tab/>
      </w:r>
      <w:r w:rsidR="00AA2563">
        <w:t xml:space="preserve">El 30 de </w:t>
      </w:r>
      <w:r w:rsidR="00AA2563" w:rsidRPr="00DB1BBB">
        <w:t xml:space="preserve">abril de 2019, el Tribunal de Apelación de la </w:t>
      </w:r>
      <w:r w:rsidR="007A4D39">
        <w:t>N</w:t>
      </w:r>
      <w:r w:rsidR="00AA2563" w:rsidRPr="00DB1BBB">
        <w:t xml:space="preserve">iñez y la </w:t>
      </w:r>
      <w:r w:rsidR="007A4D39">
        <w:t>A</w:t>
      </w:r>
      <w:r w:rsidR="00AA2563" w:rsidRPr="00DB1BBB">
        <w:t>dolescencia denegó mediante</w:t>
      </w:r>
      <w:r w:rsidRPr="00DB1BBB">
        <w:t xml:space="preserve"> </w:t>
      </w:r>
      <w:r w:rsidR="001623D7">
        <w:t>a</w:t>
      </w:r>
      <w:r w:rsidRPr="00DB1BBB">
        <w:t xml:space="preserve">uto </w:t>
      </w:r>
      <w:r w:rsidR="001623D7">
        <w:t>i</w:t>
      </w:r>
      <w:r w:rsidRPr="00DB1BBB">
        <w:t>nterlocutorio</w:t>
      </w:r>
      <w:r w:rsidR="00AA2563" w:rsidRPr="00DB1BBB">
        <w:t xml:space="preserve"> AI 107 la </w:t>
      </w:r>
      <w:r w:rsidR="00271720" w:rsidRPr="00DB1BBB">
        <w:t>solicitud</w:t>
      </w:r>
      <w:r w:rsidR="00AA2563">
        <w:t xml:space="preserve"> de medida cautelar formulada por el autor, confirmando la </w:t>
      </w:r>
      <w:r w:rsidR="00271720">
        <w:t>resolución</w:t>
      </w:r>
      <w:r w:rsidR="000E52D4">
        <w:t xml:space="preserve"> del Juzgado </w:t>
      </w:r>
      <w:r w:rsidR="00AA2563">
        <w:t xml:space="preserve">de </w:t>
      </w:r>
      <w:r w:rsidR="001B4285">
        <w:t>P</w:t>
      </w:r>
      <w:r w:rsidR="00AA2563">
        <w:t xml:space="preserve">rimera </w:t>
      </w:r>
      <w:r w:rsidR="001B4285">
        <w:t>I</w:t>
      </w:r>
      <w:r w:rsidR="00AA2563">
        <w:t>nstancia de Luque</w:t>
      </w:r>
      <w:r w:rsidR="0023138D">
        <w:t xml:space="preserve"> de 18 de febrero de 2019</w:t>
      </w:r>
      <w:r w:rsidR="00A76873" w:rsidRPr="008A2BE1">
        <w:rPr>
          <w:rStyle w:val="FootnoteReference"/>
          <w:szCs w:val="18"/>
        </w:rPr>
        <w:footnoteReference w:id="28"/>
      </w:r>
      <w:r w:rsidR="00AA2563">
        <w:t xml:space="preserve">. </w:t>
      </w:r>
    </w:p>
    <w:p w14:paraId="2DC1D783" w14:textId="2211B5E0" w:rsidR="00234D53" w:rsidRDefault="000E52D4" w:rsidP="00051054">
      <w:pPr>
        <w:spacing w:after="120" w:line="240" w:lineRule="auto"/>
        <w:ind w:left="1134" w:right="1134"/>
        <w:jc w:val="both"/>
      </w:pPr>
      <w:r>
        <w:t>6.</w:t>
      </w:r>
      <w:r w:rsidR="00DB1348">
        <w:t>7</w:t>
      </w:r>
      <w:r w:rsidR="001464F4">
        <w:tab/>
      </w:r>
      <w:r w:rsidR="009556C1">
        <w:t>E</w:t>
      </w:r>
      <w:r w:rsidR="00AE4DB6">
        <w:t>l 8 de julio de 2019</w:t>
      </w:r>
      <w:r w:rsidR="009556C1">
        <w:t>,</w:t>
      </w:r>
      <w:r w:rsidR="00AE4DB6">
        <w:t xml:space="preserve"> se resolvió </w:t>
      </w:r>
      <w:r w:rsidR="000A22E6">
        <w:t>mediante</w:t>
      </w:r>
      <w:r w:rsidR="00AE4DB6">
        <w:t xml:space="preserve"> </w:t>
      </w:r>
      <w:r>
        <w:t>auto interlocutorio</w:t>
      </w:r>
      <w:r w:rsidR="003B661C">
        <w:t xml:space="preserve"> AI 278 de 8 de julio de 2019</w:t>
      </w:r>
      <w:r w:rsidR="00AE4DB6">
        <w:t xml:space="preserve"> nuevamente intimar a la madre de su hija a dar </w:t>
      </w:r>
      <w:r>
        <w:t>cumplimiento</w:t>
      </w:r>
      <w:r w:rsidR="00AE4DB6">
        <w:t xml:space="preserve"> a la sentencia</w:t>
      </w:r>
      <w:r>
        <w:t xml:space="preserve"> definitiva</w:t>
      </w:r>
      <w:r w:rsidR="00AE4DB6">
        <w:t xml:space="preserve"> SD 139 del 30 de abril de 2015, y como medida cautelar se dispuso la comunicación entre padre e hija a través del Colegio San José. El autor </w:t>
      </w:r>
      <w:r w:rsidR="000A22E6">
        <w:t>señala</w:t>
      </w:r>
      <w:r w:rsidR="00AE4DB6">
        <w:t xml:space="preserve"> que el Juzgado </w:t>
      </w:r>
      <w:r w:rsidR="000A22E6">
        <w:t>reconoció</w:t>
      </w:r>
      <w:r w:rsidR="00AE4DB6">
        <w:t xml:space="preserve"> expresamente que el autor había solicitado una multa a la madre de su hija por cada </w:t>
      </w:r>
      <w:r w:rsidR="000A22E6">
        <w:t>día</w:t>
      </w:r>
      <w:r w:rsidR="00AE4DB6">
        <w:t xml:space="preserve"> de incumplimiento</w:t>
      </w:r>
      <w:r w:rsidR="001E5D96">
        <w:t>;</w:t>
      </w:r>
      <w:r w:rsidR="00AE4DB6">
        <w:t xml:space="preserve"> </w:t>
      </w:r>
      <w:r>
        <w:t xml:space="preserve">sin embargo, </w:t>
      </w:r>
      <w:r w:rsidR="00234D53">
        <w:t xml:space="preserve">no se expidió sobre esta </w:t>
      </w:r>
      <w:r w:rsidR="000A22E6">
        <w:t>solicitud</w:t>
      </w:r>
      <w:r w:rsidR="00234D53">
        <w:t xml:space="preserve">. Según el autor, esto </w:t>
      </w:r>
      <w:r w:rsidR="000A22E6">
        <w:t>demuestra</w:t>
      </w:r>
      <w:r w:rsidR="00234D53">
        <w:t xml:space="preserve"> que dicha resolución ha violado el </w:t>
      </w:r>
      <w:r w:rsidR="00E177CD">
        <w:t>“</w:t>
      </w:r>
      <w:r w:rsidR="00234D53">
        <w:t>principio de congruencia, el derecho a peticionar a las autoridades</w:t>
      </w:r>
      <w:r w:rsidR="00E177CD">
        <w:t>”</w:t>
      </w:r>
      <w:r w:rsidR="00234D53">
        <w:t xml:space="preserve"> y el derecho al relacionamiento entre el </w:t>
      </w:r>
      <w:r w:rsidR="000A22E6">
        <w:t>autor</w:t>
      </w:r>
      <w:r w:rsidR="00234D53">
        <w:t xml:space="preserve"> y su hija</w:t>
      </w:r>
      <w:r w:rsidR="00E97C8F">
        <w:t>,</w:t>
      </w:r>
      <w:r w:rsidR="000A22E6">
        <w:t xml:space="preserve"> </w:t>
      </w:r>
      <w:r w:rsidR="00234D53">
        <w:t>el cual no pudo hacerse efectivo entre dic</w:t>
      </w:r>
      <w:r w:rsidR="00BA3453">
        <w:t>iembre de 2018 y junio de 2019.</w:t>
      </w:r>
    </w:p>
    <w:p w14:paraId="0075802E" w14:textId="61EE2F68" w:rsidR="00601A84" w:rsidRDefault="00F97887" w:rsidP="00051054">
      <w:pPr>
        <w:spacing w:after="120" w:line="240" w:lineRule="auto"/>
        <w:ind w:left="1134" w:right="1134"/>
        <w:jc w:val="both"/>
      </w:pPr>
      <w:r>
        <w:t>6.</w:t>
      </w:r>
      <w:r w:rsidR="00DB1348">
        <w:t>8</w:t>
      </w:r>
      <w:r w:rsidR="001464F4">
        <w:tab/>
      </w:r>
      <w:r w:rsidR="00234D53">
        <w:t xml:space="preserve">El autor sostiene que al </w:t>
      </w:r>
      <w:r w:rsidR="000A22E6">
        <w:t>existir</w:t>
      </w:r>
      <w:r w:rsidR="00234D53">
        <w:t xml:space="preserve"> el riesgo de que</w:t>
      </w:r>
      <w:r w:rsidR="00BC36A6">
        <w:t>,</w:t>
      </w:r>
      <w:r w:rsidR="00234D53">
        <w:t xml:space="preserve"> en el futuro, en atención a la conducta </w:t>
      </w:r>
      <w:r w:rsidR="00007A22">
        <w:t xml:space="preserve">demostrada </w:t>
      </w:r>
      <w:r w:rsidR="00234D53">
        <w:t xml:space="preserve">por la madre de su hija hasta la fecha, </w:t>
      </w:r>
      <w:r w:rsidR="00007A22">
        <w:t>e</w:t>
      </w:r>
      <w:r w:rsidR="00234D53">
        <w:t xml:space="preserve">sta impida el relacionamiento de la </w:t>
      </w:r>
      <w:r w:rsidR="000A22E6">
        <w:t>niña</w:t>
      </w:r>
      <w:r w:rsidR="00234D53">
        <w:t xml:space="preserve"> con su padre, es necesario que se cumpla </w:t>
      </w:r>
      <w:r w:rsidR="00626753">
        <w:t xml:space="preserve">con </w:t>
      </w:r>
      <w:r>
        <w:t xml:space="preserve">el artículo 96 de </w:t>
      </w:r>
      <w:r w:rsidR="00234D53">
        <w:t xml:space="preserve">la </w:t>
      </w:r>
      <w:r w:rsidR="00855AD6">
        <w:t>L</w:t>
      </w:r>
      <w:r w:rsidR="00234D53">
        <w:t>ey 6083/2018.</w:t>
      </w:r>
    </w:p>
    <w:p w14:paraId="36C3120B" w14:textId="77777777" w:rsidR="00DE5C83" w:rsidRPr="00E97C8F" w:rsidRDefault="00051054" w:rsidP="00051054">
      <w:pPr>
        <w:pStyle w:val="H23G"/>
      </w:pPr>
      <w:r>
        <w:tab/>
      </w:r>
      <w:r>
        <w:tab/>
      </w:r>
      <w:r w:rsidR="00DE5C83" w:rsidRPr="00E97C8F">
        <w:t>Deliberaciones del Comité</w:t>
      </w:r>
    </w:p>
    <w:p w14:paraId="749805B6" w14:textId="77777777" w:rsidR="00DE5C83" w:rsidRPr="005D5092" w:rsidRDefault="00DE5C83" w:rsidP="00DE5C83">
      <w:pPr>
        <w:pStyle w:val="H4G"/>
        <w:rPr>
          <w:lang w:val="es-ES_tradnl"/>
        </w:rPr>
      </w:pPr>
      <w:r w:rsidRPr="00875539">
        <w:rPr>
          <w:lang w:val="es-ES_tradnl"/>
        </w:rPr>
        <w:tab/>
      </w:r>
      <w:r w:rsidRPr="00875539">
        <w:rPr>
          <w:lang w:val="es-ES_tradnl"/>
        </w:rPr>
        <w:tab/>
        <w:t>Consideración de la admisibilidad</w:t>
      </w:r>
    </w:p>
    <w:p w14:paraId="07201AFF" w14:textId="77777777" w:rsidR="001064A2" w:rsidRDefault="001064A2" w:rsidP="00F26F1F">
      <w:pPr>
        <w:pStyle w:val="SingleTxtG"/>
        <w:rPr>
          <w:lang w:val="es-ES_tradnl"/>
        </w:rPr>
      </w:pPr>
      <w:r>
        <w:rPr>
          <w:lang w:val="es-ES_tradnl"/>
        </w:rPr>
        <w:t>7</w:t>
      </w:r>
      <w:r w:rsidRPr="001064A2">
        <w:rPr>
          <w:lang w:val="es-ES_tradnl"/>
        </w:rPr>
        <w:t>.1</w:t>
      </w:r>
      <w:r w:rsidRPr="001064A2">
        <w:rPr>
          <w:lang w:val="es-ES_tradnl"/>
        </w:rPr>
        <w:tab/>
        <w:t xml:space="preserve">Antes de examinar toda queja formulada en una comunicación, el Comité debe decidir, de conformidad con el artículo 20 de su reglamento en relación con el Protocolo Facultativo de la Convención sobre los Derechos del Niño relativo a un procedimiento de comunicaciones, si la comunicación es admisible. </w:t>
      </w:r>
    </w:p>
    <w:p w14:paraId="75B8501F" w14:textId="4881653C" w:rsidR="00037B2A" w:rsidRDefault="00051054" w:rsidP="00890C69">
      <w:pPr>
        <w:pStyle w:val="SingleTxtG"/>
        <w:rPr>
          <w:lang w:val="es-ES_tradnl"/>
        </w:rPr>
      </w:pPr>
      <w:r>
        <w:rPr>
          <w:lang w:val="es-ES_tradnl"/>
        </w:rPr>
        <w:t>7.2</w:t>
      </w:r>
      <w:r w:rsidR="001464F4">
        <w:rPr>
          <w:lang w:val="es-ES_tradnl"/>
        </w:rPr>
        <w:tab/>
      </w:r>
      <w:r w:rsidR="00037B2A" w:rsidRPr="00037B2A">
        <w:rPr>
          <w:lang w:val="es-ES_tradnl"/>
        </w:rPr>
        <w:t xml:space="preserve">El Comité toma nota del argumento del Estado parte de que la comunicación del autor debería considerarse inadmisible </w:t>
      </w:r>
      <w:r w:rsidR="00037B2A" w:rsidRPr="00AC0BD3">
        <w:rPr>
          <w:i/>
          <w:iCs/>
          <w:lang w:val="es-ES_tradnl"/>
        </w:rPr>
        <w:t>ratione temporis</w:t>
      </w:r>
      <w:r w:rsidR="00037B2A" w:rsidRPr="00037B2A">
        <w:rPr>
          <w:lang w:val="es-ES_tradnl"/>
        </w:rPr>
        <w:t xml:space="preserve"> porque la conducta que se alega en ella </w:t>
      </w:r>
      <w:r w:rsidR="00A6370E">
        <w:rPr>
          <w:lang w:val="es-ES_tradnl"/>
        </w:rPr>
        <w:t>—</w:t>
      </w:r>
      <w:r w:rsidR="00037B2A" w:rsidRPr="00037B2A">
        <w:rPr>
          <w:lang w:val="es-ES_tradnl"/>
        </w:rPr>
        <w:t xml:space="preserve">el incumplimiento del acuerdo sobre arreglos de visitas y otras formas de contacto que fue aprobado por los tribunales en el fallo definitivo </w:t>
      </w:r>
      <w:r w:rsidR="00A6370E">
        <w:rPr>
          <w:lang w:val="es-ES_tradnl"/>
        </w:rPr>
        <w:t xml:space="preserve">núm. </w:t>
      </w:r>
      <w:r w:rsidR="00037B2A" w:rsidRPr="00037B2A">
        <w:rPr>
          <w:lang w:val="es-ES_tradnl"/>
        </w:rPr>
        <w:t>139, de 30 de abril de 2015</w:t>
      </w:r>
      <w:r w:rsidR="00A6370E">
        <w:rPr>
          <w:lang w:val="es-ES_tradnl"/>
        </w:rPr>
        <w:t>—</w:t>
      </w:r>
      <w:r w:rsidR="00037B2A" w:rsidRPr="00037B2A">
        <w:rPr>
          <w:lang w:val="es-ES_tradnl"/>
        </w:rPr>
        <w:t xml:space="preserve"> no siguió produciéndose </w:t>
      </w:r>
      <w:r w:rsidR="00E177CD">
        <w:rPr>
          <w:lang w:val="es-ES_tradnl"/>
        </w:rPr>
        <w:t>“</w:t>
      </w:r>
      <w:r w:rsidR="00037B2A" w:rsidRPr="00037B2A">
        <w:rPr>
          <w:lang w:val="es-ES_tradnl"/>
        </w:rPr>
        <w:t>de manera permanente</w:t>
      </w:r>
      <w:r w:rsidR="00E177CD">
        <w:rPr>
          <w:lang w:val="es-ES_tradnl"/>
        </w:rPr>
        <w:t>”</w:t>
      </w:r>
      <w:r w:rsidR="00037B2A" w:rsidRPr="00037B2A">
        <w:rPr>
          <w:lang w:val="es-ES_tradnl"/>
        </w:rPr>
        <w:t xml:space="preserve"> después del 20 de abril de 2017, fecha en que el Protocolo Facultativo entró en vigor para el Estado parte. El Comité recuerda que, de conformidad con el artículo 7</w:t>
      </w:r>
      <w:r w:rsidR="00A6370E">
        <w:rPr>
          <w:lang w:val="es-ES_tradnl"/>
        </w:rPr>
        <w:t>,</w:t>
      </w:r>
      <w:r w:rsidR="008903D8">
        <w:rPr>
          <w:lang w:val="es-ES_tradnl"/>
        </w:rPr>
        <w:t xml:space="preserve"> apartado</w:t>
      </w:r>
      <w:r w:rsidR="00037B2A" w:rsidRPr="00037B2A">
        <w:rPr>
          <w:lang w:val="es-ES_tradnl"/>
        </w:rPr>
        <w:t xml:space="preserve"> g)</w:t>
      </w:r>
      <w:r w:rsidR="00A6370E">
        <w:rPr>
          <w:lang w:val="es-ES_tradnl"/>
        </w:rPr>
        <w:t>,</w:t>
      </w:r>
      <w:r w:rsidR="00037B2A" w:rsidRPr="00037B2A">
        <w:rPr>
          <w:lang w:val="es-ES_tradnl"/>
        </w:rPr>
        <w:t xml:space="preserve"> del Protocolo Facultativo, está prohibido examinar </w:t>
      </w:r>
      <w:r w:rsidR="00037B2A" w:rsidRPr="00AC0BD3">
        <w:rPr>
          <w:i/>
          <w:iCs/>
          <w:lang w:val="es-ES_tradnl"/>
        </w:rPr>
        <w:t>ratione temporis</w:t>
      </w:r>
      <w:r w:rsidR="00037B2A" w:rsidRPr="00037B2A">
        <w:rPr>
          <w:lang w:val="es-ES_tradnl"/>
        </w:rPr>
        <w:t xml:space="preserve"> una comunicación cuando los hechos objeto de la misma hayan ocurrido antes de la entrada en vigor del Protocolo </w:t>
      </w:r>
      <w:r w:rsidR="00A6370E">
        <w:rPr>
          <w:lang w:val="es-ES_tradnl"/>
        </w:rPr>
        <w:t xml:space="preserve">Facultativo </w:t>
      </w:r>
      <w:r w:rsidR="00037B2A" w:rsidRPr="00037B2A">
        <w:rPr>
          <w:lang w:val="es-ES_tradnl"/>
        </w:rPr>
        <w:t xml:space="preserve">para el Estado parte de que se trate, a menos que esos hechos hayan continuado después de esa fecha. El Comité toma nota del argumento del autor de que las violaciones de la Convención continuaron después de la entrada en vigor del Protocolo Facultativo para el Estado parte, ya que siguió encontrando obstáculos para comunicarse y mantener una relación con su hija después del 20 de abril de 2017, a pesar de que presentó varias denuncias a los tribunales del Estado parte por no haber ejecutado la sentencia por la que se establecían las visitas y otras formas de contacto entre el autor y su hija. Por </w:t>
      </w:r>
      <w:r w:rsidR="007C5ECE">
        <w:rPr>
          <w:lang w:val="es-ES_tradnl"/>
        </w:rPr>
        <w:t>lo tanto</w:t>
      </w:r>
      <w:r w:rsidR="00037B2A" w:rsidRPr="00037B2A">
        <w:rPr>
          <w:lang w:val="es-ES_tradnl"/>
        </w:rPr>
        <w:t xml:space="preserve">, el Comité considera que, en las circunstancias particulares del caso, las violaciones alegadas por el autor continuaron </w:t>
      </w:r>
      <w:r w:rsidR="00037B2A" w:rsidRPr="00037B2A">
        <w:rPr>
          <w:lang w:val="es-ES_tradnl"/>
        </w:rPr>
        <w:lastRenderedPageBreak/>
        <w:t>después de la entrada en vigor del Protocolo Facultativo. Por consiguiente, el Comité llega a la conclusión de que el artículo 7</w:t>
      </w:r>
      <w:r w:rsidR="00A6370E">
        <w:rPr>
          <w:lang w:val="es-ES_tradnl"/>
        </w:rPr>
        <w:t>,</w:t>
      </w:r>
      <w:r w:rsidR="00037B2A" w:rsidRPr="00037B2A">
        <w:rPr>
          <w:lang w:val="es-ES_tradnl"/>
        </w:rPr>
        <w:t xml:space="preserve"> </w:t>
      </w:r>
      <w:r w:rsidR="008903D8">
        <w:rPr>
          <w:lang w:val="es-ES_tradnl"/>
        </w:rPr>
        <w:t xml:space="preserve">apartado </w:t>
      </w:r>
      <w:r w:rsidR="00037B2A" w:rsidRPr="00037B2A">
        <w:rPr>
          <w:lang w:val="es-ES_tradnl"/>
        </w:rPr>
        <w:t>g)</w:t>
      </w:r>
      <w:r w:rsidR="00A6370E">
        <w:rPr>
          <w:lang w:val="es-ES_tradnl"/>
        </w:rPr>
        <w:t>,</w:t>
      </w:r>
      <w:r w:rsidR="00037B2A">
        <w:rPr>
          <w:lang w:val="es-ES_tradnl"/>
        </w:rPr>
        <w:t xml:space="preserve"> </w:t>
      </w:r>
      <w:r w:rsidR="00037B2A" w:rsidRPr="00037B2A">
        <w:rPr>
          <w:lang w:val="es-ES_tradnl"/>
        </w:rPr>
        <w:t xml:space="preserve">del Protocolo Facultativo no impide que se examine la comunicación </w:t>
      </w:r>
      <w:r w:rsidR="00037B2A" w:rsidRPr="00AC0BD3">
        <w:rPr>
          <w:i/>
          <w:iCs/>
          <w:lang w:val="es-ES_tradnl"/>
        </w:rPr>
        <w:t>ratione temporis</w:t>
      </w:r>
      <w:r w:rsidR="00037B2A" w:rsidRPr="00037B2A">
        <w:rPr>
          <w:lang w:val="es-ES_tradnl"/>
        </w:rPr>
        <w:t>.</w:t>
      </w:r>
    </w:p>
    <w:p w14:paraId="3E371A4A" w14:textId="5EA4BAC1" w:rsidR="006F4883" w:rsidRDefault="00A62E6B" w:rsidP="00F26F1F">
      <w:pPr>
        <w:pStyle w:val="SingleTxtG"/>
        <w:rPr>
          <w:lang w:val="es-ES_tradnl"/>
        </w:rPr>
      </w:pPr>
      <w:r>
        <w:rPr>
          <w:lang w:val="es-ES_tradnl"/>
        </w:rPr>
        <w:t>7</w:t>
      </w:r>
      <w:r w:rsidR="00DE5C83" w:rsidRPr="005D5092">
        <w:rPr>
          <w:lang w:val="es-ES_tradnl"/>
        </w:rPr>
        <w:t>.</w:t>
      </w:r>
      <w:r w:rsidR="00812A5B">
        <w:rPr>
          <w:lang w:val="es-ES_tradnl"/>
        </w:rPr>
        <w:t>3</w:t>
      </w:r>
      <w:r w:rsidR="00DE5C83" w:rsidRPr="005D5092">
        <w:rPr>
          <w:lang w:val="es-ES_tradnl"/>
        </w:rPr>
        <w:tab/>
      </w:r>
      <w:r w:rsidR="00D8496E">
        <w:rPr>
          <w:lang w:val="es-ES_tradnl"/>
        </w:rPr>
        <w:t>E</w:t>
      </w:r>
      <w:r w:rsidR="00DE5C83">
        <w:rPr>
          <w:lang w:val="es-ES_tradnl"/>
        </w:rPr>
        <w:t>l Comité</w:t>
      </w:r>
      <w:r w:rsidR="00E97C8F">
        <w:rPr>
          <w:lang w:val="es-ES_tradnl"/>
        </w:rPr>
        <w:t xml:space="preserve"> también</w:t>
      </w:r>
      <w:r w:rsidR="00DE5C83">
        <w:rPr>
          <w:lang w:val="es-ES_tradnl"/>
        </w:rPr>
        <w:t xml:space="preserve"> toma nota del argumento del Estado parte de que</w:t>
      </w:r>
      <w:r w:rsidR="00D8496E">
        <w:rPr>
          <w:lang w:val="es-ES_tradnl"/>
        </w:rPr>
        <w:t>, al momento de presentar su queja,</w:t>
      </w:r>
      <w:r w:rsidR="00DE5C83">
        <w:rPr>
          <w:lang w:val="es-ES_tradnl"/>
        </w:rPr>
        <w:t xml:space="preserve"> el autor no </w:t>
      </w:r>
      <w:r w:rsidR="00D8496E">
        <w:rPr>
          <w:lang w:val="es-ES_tradnl"/>
        </w:rPr>
        <w:t xml:space="preserve">había </w:t>
      </w:r>
      <w:r w:rsidR="00DE5C83" w:rsidRPr="00BB2082">
        <w:rPr>
          <w:lang w:val="es-ES_tradnl"/>
        </w:rPr>
        <w:t>agot</w:t>
      </w:r>
      <w:r w:rsidR="00D8496E">
        <w:rPr>
          <w:lang w:val="es-ES_tradnl"/>
        </w:rPr>
        <w:t>ado</w:t>
      </w:r>
      <w:r w:rsidR="00DE5C83" w:rsidRPr="00BB2082">
        <w:rPr>
          <w:lang w:val="es-ES_tradnl"/>
        </w:rPr>
        <w:t xml:space="preserve"> los recursos internos disponibles</w:t>
      </w:r>
      <w:r w:rsidR="00DE5C83">
        <w:rPr>
          <w:lang w:val="es-ES_tradnl"/>
        </w:rPr>
        <w:t xml:space="preserve"> porque</w:t>
      </w:r>
      <w:r w:rsidR="00812A5B">
        <w:rPr>
          <w:lang w:val="es-ES_tradnl"/>
        </w:rPr>
        <w:t xml:space="preserve"> no había presentado su queja ante la Corte Suprema de Justicia para que </w:t>
      </w:r>
      <w:r w:rsidR="002B0BAA">
        <w:rPr>
          <w:lang w:val="es-ES_tradnl"/>
        </w:rPr>
        <w:t>e</w:t>
      </w:r>
      <w:r w:rsidR="00812A5B">
        <w:rPr>
          <w:lang w:val="es-ES_tradnl"/>
        </w:rPr>
        <w:t xml:space="preserve">sta pudiera decidir sobre el fondo de la controversia, según las disposiciones del Código de la Niñez y la Adolescencia. Sin </w:t>
      </w:r>
      <w:r w:rsidR="00001329">
        <w:rPr>
          <w:lang w:val="es-ES_tradnl"/>
        </w:rPr>
        <w:t>embargo, el Comité nota las alegaciones</w:t>
      </w:r>
      <w:r w:rsidR="00812A5B">
        <w:rPr>
          <w:lang w:val="es-ES_tradnl"/>
        </w:rPr>
        <w:t xml:space="preserve"> del autor según </w:t>
      </w:r>
      <w:r w:rsidR="00001329">
        <w:rPr>
          <w:lang w:val="es-ES_tradnl"/>
        </w:rPr>
        <w:t>las cuales</w:t>
      </w:r>
      <w:r w:rsidR="00812A5B">
        <w:rPr>
          <w:lang w:val="es-ES_tradnl"/>
        </w:rPr>
        <w:t xml:space="preserve"> </w:t>
      </w:r>
      <w:r w:rsidR="002D6FAA">
        <w:rPr>
          <w:lang w:val="es-ES_tradnl"/>
        </w:rPr>
        <w:t xml:space="preserve">no era posible </w:t>
      </w:r>
      <w:r w:rsidR="00970F1B">
        <w:rPr>
          <w:lang w:val="es-ES_tradnl"/>
        </w:rPr>
        <w:t xml:space="preserve">en su caso </w:t>
      </w:r>
      <w:r w:rsidR="002D6FAA">
        <w:rPr>
          <w:lang w:val="es-ES_tradnl"/>
        </w:rPr>
        <w:t>acceder a la Corte Suprema de Justicia</w:t>
      </w:r>
      <w:r w:rsidR="00622E67">
        <w:rPr>
          <w:lang w:val="es-ES_tradnl"/>
        </w:rPr>
        <w:t xml:space="preserve"> porque</w:t>
      </w:r>
      <w:r w:rsidR="00A57EA4">
        <w:rPr>
          <w:lang w:val="es-ES_tradnl"/>
        </w:rPr>
        <w:t xml:space="preserve"> la legislación del Estado parte no prevé que </w:t>
      </w:r>
      <w:r w:rsidR="00E177CD">
        <w:rPr>
          <w:lang w:val="es-ES_tradnl"/>
        </w:rPr>
        <w:t>“</w:t>
      </w:r>
      <w:r w:rsidR="00A57EA4">
        <w:rPr>
          <w:lang w:val="es-ES_tradnl"/>
        </w:rPr>
        <w:t>un incidente</w:t>
      </w:r>
      <w:r w:rsidR="00E177CD">
        <w:rPr>
          <w:lang w:val="es-ES_tradnl"/>
        </w:rPr>
        <w:t>”</w:t>
      </w:r>
      <w:r w:rsidR="00A57EA4">
        <w:rPr>
          <w:lang w:val="es-ES_tradnl"/>
        </w:rPr>
        <w:t xml:space="preserve"> sea recurrible ante </w:t>
      </w:r>
      <w:r w:rsidR="001E0E6B">
        <w:rPr>
          <w:lang w:val="es-ES_tradnl"/>
        </w:rPr>
        <w:t>dicha</w:t>
      </w:r>
      <w:r w:rsidR="00A57EA4">
        <w:rPr>
          <w:lang w:val="es-ES_tradnl"/>
        </w:rPr>
        <w:t xml:space="preserve"> tercera instancia. En particular, el Comité toma nota </w:t>
      </w:r>
      <w:r w:rsidR="00001329">
        <w:rPr>
          <w:lang w:val="es-ES_tradnl"/>
        </w:rPr>
        <w:t xml:space="preserve">del argumento del autor de </w:t>
      </w:r>
      <w:r w:rsidR="00A57EA4">
        <w:rPr>
          <w:lang w:val="es-ES_tradnl"/>
        </w:rPr>
        <w:t>que</w:t>
      </w:r>
      <w:r w:rsidR="001E0E6B">
        <w:rPr>
          <w:lang w:val="es-ES_tradnl"/>
        </w:rPr>
        <w:t>,</w:t>
      </w:r>
      <w:r w:rsidR="00A57EA4">
        <w:rPr>
          <w:lang w:val="es-ES_tradnl"/>
        </w:rPr>
        <w:t xml:space="preserve"> conforme al artículo 403 del Código Procesal Civil</w:t>
      </w:r>
      <w:r w:rsidR="001E0E6B">
        <w:rPr>
          <w:lang w:val="es-ES_tradnl"/>
        </w:rPr>
        <w:t>,</w:t>
      </w:r>
      <w:r w:rsidR="00A57EA4">
        <w:rPr>
          <w:lang w:val="es-ES_tradnl"/>
        </w:rPr>
        <w:t xml:space="preserve"> </w:t>
      </w:r>
      <w:r w:rsidR="00622E67">
        <w:rPr>
          <w:lang w:val="es-ES_tradnl"/>
        </w:rPr>
        <w:t xml:space="preserve">la resolución del </w:t>
      </w:r>
      <w:r w:rsidR="001E0E6B">
        <w:rPr>
          <w:lang w:val="es-ES_tradnl"/>
        </w:rPr>
        <w:t>T</w:t>
      </w:r>
      <w:r w:rsidR="00622E67">
        <w:rPr>
          <w:lang w:val="es-ES_tradnl"/>
        </w:rPr>
        <w:t xml:space="preserve">ribunal de </w:t>
      </w:r>
      <w:r w:rsidR="001E0E6B">
        <w:rPr>
          <w:lang w:val="es-ES_tradnl"/>
        </w:rPr>
        <w:t>A</w:t>
      </w:r>
      <w:r w:rsidR="00622E67">
        <w:rPr>
          <w:lang w:val="es-ES_tradnl"/>
        </w:rPr>
        <w:t xml:space="preserve">pelación de la </w:t>
      </w:r>
      <w:r w:rsidR="001E0E6B">
        <w:rPr>
          <w:lang w:val="es-ES_tradnl"/>
        </w:rPr>
        <w:t>N</w:t>
      </w:r>
      <w:r w:rsidR="00622E67">
        <w:rPr>
          <w:lang w:val="es-ES_tradnl"/>
        </w:rPr>
        <w:t xml:space="preserve">iñez y la </w:t>
      </w:r>
      <w:r w:rsidR="001E0E6B">
        <w:rPr>
          <w:lang w:val="es-ES_tradnl"/>
        </w:rPr>
        <w:t>A</w:t>
      </w:r>
      <w:r w:rsidR="00622E67">
        <w:rPr>
          <w:lang w:val="es-ES_tradnl"/>
        </w:rPr>
        <w:t>dolescencia</w:t>
      </w:r>
      <w:r w:rsidR="00D861B0">
        <w:rPr>
          <w:lang w:val="es-ES_tradnl"/>
        </w:rPr>
        <w:t>, la cual</w:t>
      </w:r>
      <w:r w:rsidR="00622E67">
        <w:rPr>
          <w:lang w:val="es-ES_tradnl"/>
        </w:rPr>
        <w:t xml:space="preserve"> fue emitida en el marco de una apelación contra un auto interlocutorio de primera instancia</w:t>
      </w:r>
      <w:r w:rsidR="001E0E6B">
        <w:rPr>
          <w:lang w:val="es-ES_tradnl"/>
        </w:rPr>
        <w:t>,</w:t>
      </w:r>
      <w:r w:rsidR="00622E67">
        <w:rPr>
          <w:lang w:val="es-ES_tradnl"/>
        </w:rPr>
        <w:t xml:space="preserve"> </w:t>
      </w:r>
      <w:r w:rsidR="00A57EA4">
        <w:rPr>
          <w:lang w:val="es-ES_tradnl"/>
        </w:rPr>
        <w:t xml:space="preserve">no </w:t>
      </w:r>
      <w:r w:rsidR="00001329">
        <w:rPr>
          <w:lang w:val="es-ES_tradnl"/>
        </w:rPr>
        <w:t>podía</w:t>
      </w:r>
      <w:r w:rsidR="00A57EA4">
        <w:rPr>
          <w:lang w:val="es-ES_tradnl"/>
        </w:rPr>
        <w:t xml:space="preserve"> ser</w:t>
      </w:r>
      <w:r w:rsidR="00D861B0">
        <w:rPr>
          <w:lang w:val="es-ES_tradnl"/>
        </w:rPr>
        <w:t xml:space="preserve"> recurrible an</w:t>
      </w:r>
      <w:r w:rsidR="00A57EA4">
        <w:rPr>
          <w:lang w:val="es-ES_tradnl"/>
        </w:rPr>
        <w:t>te la Corte Suprema de Justicia</w:t>
      </w:r>
      <w:r w:rsidR="00F125D9">
        <w:rPr>
          <w:lang w:val="es-ES_tradnl"/>
        </w:rPr>
        <w:t xml:space="preserve"> (párr. 5.5 </w:t>
      </w:r>
      <w:r w:rsidR="00F125D9" w:rsidRPr="00AC0BD3">
        <w:rPr>
          <w:i/>
          <w:iCs/>
          <w:lang w:val="es-ES_tradnl"/>
        </w:rPr>
        <w:t>supra</w:t>
      </w:r>
      <w:r w:rsidR="00F125D9">
        <w:rPr>
          <w:lang w:val="es-ES_tradnl"/>
        </w:rPr>
        <w:t>)</w:t>
      </w:r>
      <w:r w:rsidR="00FB46C1">
        <w:rPr>
          <w:lang w:val="es-ES_tradnl"/>
        </w:rPr>
        <w:t>.</w:t>
      </w:r>
      <w:r w:rsidR="00A57EA4">
        <w:rPr>
          <w:lang w:val="es-ES_tradnl"/>
        </w:rPr>
        <w:t xml:space="preserve"> </w:t>
      </w:r>
      <w:r w:rsidR="00C463F7">
        <w:rPr>
          <w:lang w:val="es-ES_tradnl"/>
        </w:rPr>
        <w:t>El Comité observa que el autor presentó en numerosas ocasiones</w:t>
      </w:r>
      <w:r w:rsidR="00E334DA">
        <w:rPr>
          <w:lang w:val="es-ES_tradnl"/>
        </w:rPr>
        <w:t xml:space="preserve">, antes y después de la entrada en vigor del Protocolo </w:t>
      </w:r>
      <w:r w:rsidR="003D1B49">
        <w:rPr>
          <w:lang w:val="es-ES_tradnl"/>
        </w:rPr>
        <w:t xml:space="preserve">Facultativo </w:t>
      </w:r>
      <w:r w:rsidR="00E334DA">
        <w:rPr>
          <w:lang w:val="es-ES_tradnl"/>
        </w:rPr>
        <w:t>para el Estado parte,</w:t>
      </w:r>
      <w:r w:rsidR="00C463F7">
        <w:rPr>
          <w:lang w:val="es-ES_tradnl"/>
        </w:rPr>
        <w:t xml:space="preserve"> quejas por incumplimiento de la s</w:t>
      </w:r>
      <w:r w:rsidR="00C463F7" w:rsidRPr="00C463F7">
        <w:rPr>
          <w:lang w:val="es-ES_tradnl"/>
        </w:rPr>
        <w:t xml:space="preserve">entencia </w:t>
      </w:r>
      <w:r w:rsidR="00C463F7">
        <w:rPr>
          <w:lang w:val="es-ES_tradnl"/>
        </w:rPr>
        <w:t>d</w:t>
      </w:r>
      <w:r w:rsidR="00C463F7" w:rsidRPr="00C463F7">
        <w:rPr>
          <w:lang w:val="es-ES_tradnl"/>
        </w:rPr>
        <w:t xml:space="preserve">efinitiva </w:t>
      </w:r>
      <w:r w:rsidR="00F125D9">
        <w:rPr>
          <w:lang w:val="es-ES_tradnl"/>
        </w:rPr>
        <w:t xml:space="preserve">núm. </w:t>
      </w:r>
      <w:r w:rsidR="00C463F7" w:rsidRPr="00C463F7">
        <w:rPr>
          <w:lang w:val="es-ES_tradnl"/>
        </w:rPr>
        <w:t>139 del 30 de abril de 2015</w:t>
      </w:r>
      <w:r w:rsidR="00C463F7">
        <w:rPr>
          <w:lang w:val="es-ES_tradnl"/>
        </w:rPr>
        <w:t xml:space="preserve"> que regula el relacionamiento con su hija, así como solicitudes de medidas cautelares</w:t>
      </w:r>
      <w:r w:rsidR="0007695C">
        <w:rPr>
          <w:lang w:val="es-ES_tradnl"/>
        </w:rPr>
        <w:t xml:space="preserve"> y quejas por retardo de justicia, incluid</w:t>
      </w:r>
      <w:r w:rsidR="00671439">
        <w:rPr>
          <w:lang w:val="es-ES_tradnl"/>
        </w:rPr>
        <w:t>o</w:t>
      </w:r>
      <w:r w:rsidR="0007695C">
        <w:rPr>
          <w:lang w:val="es-ES_tradnl"/>
        </w:rPr>
        <w:t xml:space="preserve"> ante la Corte Suprema de Justicia</w:t>
      </w:r>
      <w:r w:rsidR="00C463F7">
        <w:rPr>
          <w:lang w:val="es-ES_tradnl"/>
        </w:rPr>
        <w:t xml:space="preserve">. </w:t>
      </w:r>
      <w:r w:rsidR="0062033F" w:rsidRPr="0062033F">
        <w:rPr>
          <w:lang w:val="es-ES_tradnl"/>
        </w:rPr>
        <w:t xml:space="preserve">El Comité observa </w:t>
      </w:r>
      <w:r w:rsidR="001E0E6B">
        <w:rPr>
          <w:lang w:val="es-ES_tradnl"/>
        </w:rPr>
        <w:t xml:space="preserve">igualmente </w:t>
      </w:r>
      <w:r w:rsidR="0062033F" w:rsidRPr="0062033F">
        <w:rPr>
          <w:lang w:val="es-ES_tradnl"/>
        </w:rPr>
        <w:t xml:space="preserve">que el Estado parte no ha </w:t>
      </w:r>
      <w:r w:rsidR="0045519D">
        <w:rPr>
          <w:lang w:val="es-ES_tradnl"/>
        </w:rPr>
        <w:t>especificado</w:t>
      </w:r>
      <w:r w:rsidR="0062033F" w:rsidRPr="0062033F">
        <w:rPr>
          <w:lang w:val="es-ES_tradnl"/>
        </w:rPr>
        <w:t xml:space="preserve"> </w:t>
      </w:r>
      <w:r w:rsidR="001E0E6B">
        <w:rPr>
          <w:lang w:val="es-ES_tradnl"/>
        </w:rPr>
        <w:t xml:space="preserve">de </w:t>
      </w:r>
      <w:r w:rsidR="000A6C52">
        <w:rPr>
          <w:lang w:val="es-ES_tradnl"/>
        </w:rPr>
        <w:t xml:space="preserve">qué </w:t>
      </w:r>
      <w:r w:rsidR="001E0E6B">
        <w:rPr>
          <w:lang w:val="es-ES_tradnl"/>
        </w:rPr>
        <w:t>manera</w:t>
      </w:r>
      <w:r w:rsidR="00001329">
        <w:rPr>
          <w:lang w:val="es-ES_tradnl"/>
        </w:rPr>
        <w:t xml:space="preserve"> </w:t>
      </w:r>
      <w:r w:rsidR="00E334DA">
        <w:rPr>
          <w:lang w:val="es-ES_tradnl"/>
        </w:rPr>
        <w:t xml:space="preserve">un posible recurso </w:t>
      </w:r>
      <w:r w:rsidR="000A6C52">
        <w:rPr>
          <w:lang w:val="es-ES_tradnl"/>
        </w:rPr>
        <w:t xml:space="preserve">adicional </w:t>
      </w:r>
      <w:r w:rsidR="00E334DA">
        <w:rPr>
          <w:lang w:val="es-ES_tradnl"/>
        </w:rPr>
        <w:t>ante</w:t>
      </w:r>
      <w:r w:rsidR="001E0E6B">
        <w:rPr>
          <w:lang w:val="es-ES_tradnl"/>
        </w:rPr>
        <w:t xml:space="preserve"> la Corte Suprema de Justicia</w:t>
      </w:r>
      <w:r w:rsidR="00E334DA">
        <w:rPr>
          <w:lang w:val="es-ES_tradnl"/>
        </w:rPr>
        <w:t xml:space="preserve"> hubiera podido ser efectivo y adecuado en</w:t>
      </w:r>
      <w:r w:rsidR="00001329">
        <w:rPr>
          <w:lang w:val="es-ES_tradnl"/>
        </w:rPr>
        <w:t xml:space="preserve"> </w:t>
      </w:r>
      <w:r w:rsidR="00E334DA">
        <w:rPr>
          <w:lang w:val="es-ES_tradnl"/>
        </w:rPr>
        <w:t>las</w:t>
      </w:r>
      <w:r w:rsidR="00001329">
        <w:rPr>
          <w:lang w:val="es-ES_tradnl"/>
        </w:rPr>
        <w:t xml:space="preserve"> circunstancias</w:t>
      </w:r>
      <w:r w:rsidR="00E334DA">
        <w:rPr>
          <w:lang w:val="es-ES_tradnl"/>
        </w:rPr>
        <w:t xml:space="preserve"> del autor</w:t>
      </w:r>
      <w:r w:rsidR="00001329">
        <w:rPr>
          <w:lang w:val="es-ES_tradnl"/>
        </w:rPr>
        <w:t>.</w:t>
      </w:r>
      <w:r w:rsidR="00E334DA" w:rsidRPr="00E334DA">
        <w:t xml:space="preserve"> </w:t>
      </w:r>
      <w:r w:rsidR="00E334DA" w:rsidRPr="00E334DA">
        <w:rPr>
          <w:lang w:val="es-ES_tradnl"/>
        </w:rPr>
        <w:t>Dada la naturaleza de</w:t>
      </w:r>
      <w:r w:rsidR="00E334DA">
        <w:rPr>
          <w:lang w:val="es-ES_tradnl"/>
        </w:rPr>
        <w:t>l asunto</w:t>
      </w:r>
      <w:r w:rsidR="00E334DA" w:rsidRPr="00E334DA">
        <w:rPr>
          <w:lang w:val="es-ES_tradnl"/>
        </w:rPr>
        <w:t xml:space="preserve"> sujeto a examen, el Comité considera que el </w:t>
      </w:r>
      <w:r w:rsidR="00225816" w:rsidRPr="00225816">
        <w:rPr>
          <w:lang w:val="es-ES_tradnl"/>
        </w:rPr>
        <w:t xml:space="preserve">autor ha agotado todos los recursos internos disponibles </w:t>
      </w:r>
      <w:r w:rsidR="00E334DA" w:rsidRPr="00E334DA">
        <w:rPr>
          <w:lang w:val="es-ES_tradnl"/>
        </w:rPr>
        <w:t xml:space="preserve">para plantear </w:t>
      </w:r>
      <w:r w:rsidR="00E334DA">
        <w:rPr>
          <w:lang w:val="es-ES_tradnl"/>
        </w:rPr>
        <w:t>su denuncia</w:t>
      </w:r>
      <w:r w:rsidR="00E334DA" w:rsidRPr="00E334DA">
        <w:rPr>
          <w:lang w:val="es-ES_tradnl"/>
        </w:rPr>
        <w:t xml:space="preserve"> ante las autoridades </w:t>
      </w:r>
      <w:r w:rsidR="00E334DA">
        <w:rPr>
          <w:lang w:val="es-ES_tradnl"/>
        </w:rPr>
        <w:t>judiciales del Estado parte</w:t>
      </w:r>
      <w:r w:rsidR="00E334DA" w:rsidRPr="00E334DA">
        <w:rPr>
          <w:lang w:val="es-ES_tradnl"/>
        </w:rPr>
        <w:t xml:space="preserve">. </w:t>
      </w:r>
      <w:r w:rsidR="0062033F" w:rsidRPr="0062033F">
        <w:rPr>
          <w:lang w:val="es-ES_tradnl"/>
        </w:rPr>
        <w:t>En consecuencia, el Comité concluye que el artículo 7, apartado e), del Protocolo Facultativo no constituye un obstáculo para la admisibilidad de la presente comunicación.</w:t>
      </w:r>
      <w:r w:rsidR="00C1460B">
        <w:rPr>
          <w:lang w:val="es-ES_tradnl"/>
        </w:rPr>
        <w:t xml:space="preserve"> </w:t>
      </w:r>
    </w:p>
    <w:p w14:paraId="62F84F77" w14:textId="33BA2806" w:rsidR="006D3CDE" w:rsidRPr="006D3CDE" w:rsidRDefault="006D3CDE" w:rsidP="006D3CDE">
      <w:pPr>
        <w:pStyle w:val="SingleTxtG"/>
        <w:rPr>
          <w:lang w:val="es-ES_tradnl"/>
        </w:rPr>
      </w:pPr>
      <w:r w:rsidRPr="006D3CDE">
        <w:rPr>
          <w:lang w:val="es-ES_tradnl"/>
        </w:rPr>
        <w:t>7.4</w:t>
      </w:r>
      <w:r w:rsidR="00907FF5">
        <w:rPr>
          <w:lang w:val="es-ES_tradnl"/>
        </w:rPr>
        <w:tab/>
      </w:r>
      <w:r w:rsidRPr="006D3CDE">
        <w:rPr>
          <w:lang w:val="es-ES_tradnl"/>
        </w:rPr>
        <w:t xml:space="preserve">El Comité considera que las </w:t>
      </w:r>
      <w:r w:rsidR="00D65717">
        <w:rPr>
          <w:lang w:val="es-ES_tradnl"/>
        </w:rPr>
        <w:t>alegaciones</w:t>
      </w:r>
      <w:r w:rsidRPr="006D3CDE">
        <w:rPr>
          <w:lang w:val="es-ES_tradnl"/>
        </w:rPr>
        <w:t xml:space="preserve"> del autor </w:t>
      </w:r>
      <w:r w:rsidR="00021F44">
        <w:rPr>
          <w:lang w:val="es-ES_tradnl"/>
        </w:rPr>
        <w:t>basadas en</w:t>
      </w:r>
      <w:r w:rsidRPr="006D3CDE">
        <w:rPr>
          <w:lang w:val="es-ES_tradnl"/>
        </w:rPr>
        <w:t xml:space="preserve"> los artículos 18 y 19 de la Convención no han sido suficientemente fundamentadas a efectos de la admisibilidad y las considera inadmisibles con arreglo al artículo 7</w:t>
      </w:r>
      <w:r w:rsidR="00F125D9">
        <w:rPr>
          <w:lang w:val="es-ES_tradnl"/>
        </w:rPr>
        <w:t>,</w:t>
      </w:r>
      <w:r w:rsidRPr="006D3CDE">
        <w:rPr>
          <w:lang w:val="es-ES_tradnl"/>
        </w:rPr>
        <w:t xml:space="preserve"> apartado f)</w:t>
      </w:r>
      <w:r w:rsidR="00F125D9">
        <w:rPr>
          <w:lang w:val="es-ES_tradnl"/>
        </w:rPr>
        <w:t>,</w:t>
      </w:r>
      <w:r w:rsidRPr="006D3CDE">
        <w:rPr>
          <w:lang w:val="es-ES_tradnl"/>
        </w:rPr>
        <w:t xml:space="preserve"> del Protocolo Facultativo.</w:t>
      </w:r>
    </w:p>
    <w:p w14:paraId="6B0D661D" w14:textId="04705D5C" w:rsidR="006D3CDE" w:rsidRDefault="006D3CDE" w:rsidP="006D3CDE">
      <w:pPr>
        <w:pStyle w:val="SingleTxtG"/>
        <w:rPr>
          <w:lang w:val="es-ES_tradnl"/>
        </w:rPr>
      </w:pPr>
      <w:r w:rsidRPr="006D3CDE">
        <w:rPr>
          <w:lang w:val="es-ES_tradnl"/>
        </w:rPr>
        <w:t>7.5</w:t>
      </w:r>
      <w:r w:rsidR="00907FF5">
        <w:rPr>
          <w:lang w:val="es-ES_tradnl"/>
        </w:rPr>
        <w:tab/>
      </w:r>
      <w:r w:rsidRPr="006D3CDE">
        <w:rPr>
          <w:lang w:val="es-ES_tradnl"/>
        </w:rPr>
        <w:t xml:space="preserve">El Comité considera que, a efectos de la admisibilidad, el autor ha fundamentado suficientemente sus </w:t>
      </w:r>
      <w:r w:rsidR="00455C34">
        <w:rPr>
          <w:lang w:val="es-ES_tradnl"/>
        </w:rPr>
        <w:t>alegaciones</w:t>
      </w:r>
      <w:r w:rsidRPr="006D3CDE">
        <w:rPr>
          <w:lang w:val="es-ES_tradnl"/>
        </w:rPr>
        <w:t xml:space="preserve"> </w:t>
      </w:r>
      <w:r w:rsidR="00021F44">
        <w:rPr>
          <w:lang w:val="es-ES_tradnl"/>
        </w:rPr>
        <w:t>basadas en</w:t>
      </w:r>
      <w:r w:rsidRPr="006D3CDE">
        <w:rPr>
          <w:lang w:val="es-ES_tradnl"/>
        </w:rPr>
        <w:t xml:space="preserve"> los artículos 3, 4 y 5, 9</w:t>
      </w:r>
      <w:r w:rsidR="00F125D9">
        <w:rPr>
          <w:lang w:val="es-ES_tradnl"/>
        </w:rPr>
        <w:t>, párrafo</w:t>
      </w:r>
      <w:r w:rsidRPr="006D3CDE">
        <w:rPr>
          <w:lang w:val="es-ES_tradnl"/>
        </w:rPr>
        <w:t xml:space="preserve"> </w:t>
      </w:r>
      <w:r w:rsidR="00455C34" w:rsidRPr="006D3CDE">
        <w:rPr>
          <w:lang w:val="es-ES_tradnl"/>
        </w:rPr>
        <w:t>3</w:t>
      </w:r>
      <w:r w:rsidR="00F125D9">
        <w:rPr>
          <w:lang w:val="es-ES_tradnl"/>
        </w:rPr>
        <w:t>,</w:t>
      </w:r>
      <w:r w:rsidR="00455C34">
        <w:rPr>
          <w:lang w:val="es-ES_tradnl"/>
        </w:rPr>
        <w:t xml:space="preserve"> </w:t>
      </w:r>
      <w:r w:rsidRPr="006D3CDE">
        <w:rPr>
          <w:lang w:val="es-ES_tradnl"/>
        </w:rPr>
        <w:t xml:space="preserve">y </w:t>
      </w:r>
      <w:r w:rsidR="00455C34" w:rsidRPr="006D3CDE">
        <w:rPr>
          <w:lang w:val="es-ES_tradnl"/>
        </w:rPr>
        <w:t>10</w:t>
      </w:r>
      <w:r w:rsidR="00F125D9">
        <w:rPr>
          <w:lang w:val="es-ES_tradnl"/>
        </w:rPr>
        <w:t>, párrafo</w:t>
      </w:r>
      <w:r w:rsidR="00455C34">
        <w:rPr>
          <w:lang w:val="es-ES_tradnl"/>
        </w:rPr>
        <w:t xml:space="preserve"> </w:t>
      </w:r>
      <w:r w:rsidRPr="006D3CDE">
        <w:rPr>
          <w:lang w:val="es-ES_tradnl"/>
        </w:rPr>
        <w:t>2</w:t>
      </w:r>
      <w:r w:rsidR="00F125D9">
        <w:rPr>
          <w:lang w:val="es-ES_tradnl"/>
        </w:rPr>
        <w:t>,</w:t>
      </w:r>
      <w:r w:rsidRPr="006D3CDE">
        <w:rPr>
          <w:lang w:val="es-ES_tradnl"/>
        </w:rPr>
        <w:t xml:space="preserve"> de la Convención, en relación con el hecho de que el Estado parte no haya tenido en cuenta el interés superior del niño y no haya </w:t>
      </w:r>
      <w:r w:rsidR="00021F44">
        <w:rPr>
          <w:lang w:val="es-ES_tradnl"/>
        </w:rPr>
        <w:t>implementado</w:t>
      </w:r>
      <w:r w:rsidRPr="006D3CDE">
        <w:rPr>
          <w:lang w:val="es-ES_tradnl"/>
        </w:rPr>
        <w:t xml:space="preserve"> la decisión judicial por la que se establece el derecho de visita y se garantiza el derecho de la hija del autor a mantener un contacto personal y directo con su padre. Por consiguiente, el Comité considera que la denuncia es admisible y procede a examinarla en cuanto al fondo.</w:t>
      </w:r>
    </w:p>
    <w:p w14:paraId="7C135739" w14:textId="1F29E495" w:rsidR="00BC0C39" w:rsidRPr="00537DC5" w:rsidRDefault="00907FF5" w:rsidP="00907FF5">
      <w:pPr>
        <w:pStyle w:val="H4G"/>
        <w:rPr>
          <w:lang w:val="es-ES_tradnl"/>
        </w:rPr>
      </w:pPr>
      <w:r>
        <w:rPr>
          <w:lang w:val="es-ES_tradnl"/>
        </w:rPr>
        <w:tab/>
      </w:r>
      <w:r>
        <w:rPr>
          <w:lang w:val="es-ES_tradnl"/>
        </w:rPr>
        <w:tab/>
      </w:r>
      <w:r w:rsidR="00BC0C39" w:rsidRPr="00537DC5">
        <w:rPr>
          <w:lang w:val="es-ES_tradnl"/>
        </w:rPr>
        <w:t>Examen de la cuestión en cuanto al fondo</w:t>
      </w:r>
    </w:p>
    <w:p w14:paraId="0D062D1B" w14:textId="77777777" w:rsidR="00BC0C39" w:rsidRPr="00BC0C39" w:rsidRDefault="00BC0C39" w:rsidP="00907FF5">
      <w:pPr>
        <w:pStyle w:val="SingleTxtG"/>
        <w:rPr>
          <w:lang w:val="es-ES_tradnl"/>
        </w:rPr>
      </w:pPr>
      <w:r>
        <w:rPr>
          <w:lang w:val="es-ES_tradnl"/>
        </w:rPr>
        <w:t>8.1</w:t>
      </w:r>
      <w:r w:rsidRPr="00BC0C39">
        <w:rPr>
          <w:lang w:val="es-ES_tradnl"/>
        </w:rPr>
        <w:tab/>
        <w:t xml:space="preserve">El Comité ha examinado la presente comunicación teniendo en cuenta toda la información que </w:t>
      </w:r>
      <w:r w:rsidRPr="00AC0BD3">
        <w:t>le</w:t>
      </w:r>
      <w:r w:rsidRPr="00BC0C39">
        <w:rPr>
          <w:lang w:val="es-ES_tradnl"/>
        </w:rPr>
        <w:t xml:space="preserve"> han facilitado las partes, de conformidad con lo dispuesto en el artículo 10, párrafo 1, del Protocolo Facultativo.</w:t>
      </w:r>
    </w:p>
    <w:p w14:paraId="40FD20FA" w14:textId="65BA4D17" w:rsidR="00442CCB" w:rsidRPr="00442CCB" w:rsidRDefault="00442CCB" w:rsidP="00442CCB">
      <w:pPr>
        <w:pStyle w:val="SingleTxtG"/>
        <w:rPr>
          <w:lang w:val="es-ES_tradnl"/>
        </w:rPr>
      </w:pPr>
      <w:r w:rsidRPr="00442CCB">
        <w:rPr>
          <w:lang w:val="es-ES_tradnl"/>
        </w:rPr>
        <w:t>8.2</w:t>
      </w:r>
      <w:r w:rsidR="00907FF5">
        <w:rPr>
          <w:lang w:val="es-ES_tradnl"/>
        </w:rPr>
        <w:tab/>
      </w:r>
      <w:r w:rsidR="006467FF" w:rsidRPr="006467FF">
        <w:rPr>
          <w:lang w:val="es-ES_tradnl"/>
        </w:rPr>
        <w:t xml:space="preserve">Una de las cuestiones ante el Comité consiste en determinar si, en las circunstancias del presente caso, </w:t>
      </w:r>
      <w:r w:rsidRPr="00442CCB">
        <w:rPr>
          <w:lang w:val="es-ES_tradnl"/>
        </w:rPr>
        <w:t xml:space="preserve">el Estado </w:t>
      </w:r>
      <w:r w:rsidR="006E083B">
        <w:rPr>
          <w:lang w:val="es-ES_tradnl"/>
        </w:rPr>
        <w:t>p</w:t>
      </w:r>
      <w:r w:rsidRPr="00442CCB">
        <w:rPr>
          <w:lang w:val="es-ES_tradnl"/>
        </w:rPr>
        <w:t>arte ha adoptado medidas eficaces para garantizar el derecho de la hija de</w:t>
      </w:r>
      <w:r w:rsidR="006467FF">
        <w:rPr>
          <w:lang w:val="es-ES_tradnl"/>
        </w:rPr>
        <w:t>l</w:t>
      </w:r>
      <w:r w:rsidRPr="00442CCB">
        <w:rPr>
          <w:lang w:val="es-ES_tradnl"/>
        </w:rPr>
        <w:t xml:space="preserve"> autor a mantener, de manera regular, relaciones personales y contacto directo con su padre. </w:t>
      </w:r>
      <w:r w:rsidR="006467FF">
        <w:rPr>
          <w:lang w:val="es-ES_tradnl"/>
        </w:rPr>
        <w:t>El autor</w:t>
      </w:r>
      <w:r w:rsidRPr="00442CCB">
        <w:rPr>
          <w:lang w:val="es-ES_tradnl"/>
        </w:rPr>
        <w:t xml:space="preserve"> ha alegado además que las autoridades del Estado parte no tuvieron en cuenta el interés superior </w:t>
      </w:r>
      <w:r w:rsidR="006467FF" w:rsidRPr="006467FF">
        <w:rPr>
          <w:lang w:val="es-ES_tradnl"/>
        </w:rPr>
        <w:t>del niño</w:t>
      </w:r>
      <w:r w:rsidRPr="00442CCB">
        <w:rPr>
          <w:lang w:val="es-ES_tradnl"/>
        </w:rPr>
        <w:t>, ya que la relación de su hija con él y su familia es esencial para su desarrollo y debería haberse tomado como consideración primordial durante las actuaciones nacionales.</w:t>
      </w:r>
    </w:p>
    <w:p w14:paraId="49E6EB30" w14:textId="64D0AA07" w:rsidR="00442CCB" w:rsidRPr="00442CCB" w:rsidRDefault="007E1A38" w:rsidP="00442CCB">
      <w:pPr>
        <w:pStyle w:val="SingleTxtG"/>
        <w:rPr>
          <w:lang w:val="es-ES_tradnl"/>
        </w:rPr>
      </w:pPr>
      <w:r>
        <w:rPr>
          <w:lang w:val="es-ES_tradnl"/>
        </w:rPr>
        <w:t>8.3</w:t>
      </w:r>
      <w:r w:rsidR="00907FF5">
        <w:rPr>
          <w:lang w:val="es-ES_tradnl"/>
        </w:rPr>
        <w:tab/>
      </w:r>
      <w:r>
        <w:rPr>
          <w:lang w:val="es-ES_tradnl"/>
        </w:rPr>
        <w:t>Al</w:t>
      </w:r>
      <w:r w:rsidR="00442CCB" w:rsidRPr="00442CCB">
        <w:rPr>
          <w:lang w:val="es-ES_tradnl"/>
        </w:rPr>
        <w:t xml:space="preserve"> respecto, el Comité toma nota, en particular, de los argumentos presentados por el autor en su denuncia </w:t>
      </w:r>
      <w:r>
        <w:rPr>
          <w:lang w:val="es-ES_tradnl"/>
        </w:rPr>
        <w:t>según los cuales</w:t>
      </w:r>
      <w:r w:rsidR="00442CCB" w:rsidRPr="00442CCB">
        <w:rPr>
          <w:lang w:val="es-ES_tradnl"/>
        </w:rPr>
        <w:t xml:space="preserve">: a) </w:t>
      </w:r>
      <w:r w:rsidR="006E083B">
        <w:rPr>
          <w:lang w:val="es-ES_tradnl"/>
        </w:rPr>
        <w:t>e</w:t>
      </w:r>
      <w:r w:rsidR="00442CCB" w:rsidRPr="00442CCB">
        <w:rPr>
          <w:lang w:val="es-ES_tradnl"/>
        </w:rPr>
        <w:t xml:space="preserve">l Estado </w:t>
      </w:r>
      <w:r w:rsidR="006E083B">
        <w:rPr>
          <w:lang w:val="es-ES_tradnl"/>
        </w:rPr>
        <w:t>p</w:t>
      </w:r>
      <w:r w:rsidR="00442CCB" w:rsidRPr="00442CCB">
        <w:rPr>
          <w:lang w:val="es-ES_tradnl"/>
        </w:rPr>
        <w:t xml:space="preserve">arte no adoptó las medidas necesarias para garantizar el cumplimiento de la sentencia definitiva </w:t>
      </w:r>
      <w:r w:rsidR="006E083B">
        <w:rPr>
          <w:lang w:val="es-ES_tradnl"/>
        </w:rPr>
        <w:t>núm</w:t>
      </w:r>
      <w:r w:rsidR="00442CCB" w:rsidRPr="00442CCB">
        <w:rPr>
          <w:lang w:val="es-ES_tradnl"/>
        </w:rPr>
        <w:t>. 139, de 30 de abril de 2015, por la que se establecen las disposiciones relativas a las visitas y otras formas de contacto, y que esta decisión ha tenido efectos continuos después del 20 de abril de 2017, fecha de entrada en vigor del Protocolo Facultativo para el Estado parte; b) el autor ha tenido que presentar denuncias por las demoras en las actuaciones judiciales; c) a pesar del informe de</w:t>
      </w:r>
      <w:r>
        <w:rPr>
          <w:lang w:val="es-ES_tradnl"/>
        </w:rPr>
        <w:t xml:space="preserve"> la </w:t>
      </w:r>
      <w:r w:rsidR="00442CCB" w:rsidRPr="00442CCB">
        <w:rPr>
          <w:lang w:val="es-ES_tradnl"/>
        </w:rPr>
        <w:t>trabajador</w:t>
      </w:r>
      <w:r>
        <w:rPr>
          <w:lang w:val="es-ES_tradnl"/>
        </w:rPr>
        <w:t>a</w:t>
      </w:r>
      <w:r w:rsidR="00442CCB" w:rsidRPr="00442CCB">
        <w:rPr>
          <w:lang w:val="es-ES_tradnl"/>
        </w:rPr>
        <w:t xml:space="preserve"> social, las autoridades del Estado parte no han adoptado </w:t>
      </w:r>
      <w:r w:rsidR="00442CCB" w:rsidRPr="00442CCB">
        <w:rPr>
          <w:lang w:val="es-ES_tradnl"/>
        </w:rPr>
        <w:lastRenderedPageBreak/>
        <w:t xml:space="preserve">ninguna de las medidas previstas en su legislación para garantizar el cumplimiento de la sentencia definitiva </w:t>
      </w:r>
      <w:r w:rsidR="006E083B">
        <w:rPr>
          <w:lang w:val="es-ES_tradnl"/>
        </w:rPr>
        <w:t>núm.</w:t>
      </w:r>
      <w:r w:rsidR="00442CCB" w:rsidRPr="00442CCB">
        <w:rPr>
          <w:lang w:val="es-ES_tradnl"/>
        </w:rPr>
        <w:t xml:space="preserve"> 139, de 30 de abril de 2015</w:t>
      </w:r>
      <w:r w:rsidR="006E083B">
        <w:rPr>
          <w:lang w:val="es-ES_tradnl"/>
        </w:rPr>
        <w:t xml:space="preserve"> (párr. 3.9 </w:t>
      </w:r>
      <w:r w:rsidR="006E083B" w:rsidRPr="00AC0BD3">
        <w:rPr>
          <w:i/>
          <w:iCs/>
          <w:lang w:val="es-ES_tradnl"/>
        </w:rPr>
        <w:t>supra</w:t>
      </w:r>
      <w:r w:rsidR="006E083B">
        <w:rPr>
          <w:lang w:val="es-ES_tradnl"/>
        </w:rPr>
        <w:t>)</w:t>
      </w:r>
      <w:r w:rsidR="00442CCB" w:rsidRPr="00442CCB">
        <w:rPr>
          <w:lang w:val="es-ES_tradnl"/>
        </w:rPr>
        <w:t xml:space="preserve">. </w:t>
      </w:r>
    </w:p>
    <w:p w14:paraId="5C917048" w14:textId="4C9AEBAB" w:rsidR="00895ED4" w:rsidRDefault="00442CCB" w:rsidP="009A33DB">
      <w:pPr>
        <w:pStyle w:val="SingleTxtG"/>
        <w:rPr>
          <w:lang w:val="es-ES_tradnl"/>
        </w:rPr>
      </w:pPr>
      <w:r w:rsidRPr="00442CCB">
        <w:rPr>
          <w:lang w:val="es-ES_tradnl"/>
        </w:rPr>
        <w:t>8.4</w:t>
      </w:r>
      <w:r w:rsidR="00907FF5">
        <w:rPr>
          <w:lang w:val="es-ES_tradnl"/>
        </w:rPr>
        <w:tab/>
      </w:r>
      <w:r w:rsidRPr="00442CCB">
        <w:rPr>
          <w:lang w:val="es-ES_tradnl"/>
        </w:rPr>
        <w:t>De conformidad con el artículo 9</w:t>
      </w:r>
      <w:r w:rsidR="006E083B">
        <w:rPr>
          <w:lang w:val="es-ES_tradnl"/>
        </w:rPr>
        <w:t>, párrafo</w:t>
      </w:r>
      <w:r w:rsidR="0050539B">
        <w:rPr>
          <w:lang w:val="es-ES_tradnl"/>
        </w:rPr>
        <w:t xml:space="preserve"> 3</w:t>
      </w:r>
      <w:r w:rsidR="006E083B">
        <w:rPr>
          <w:lang w:val="es-ES_tradnl"/>
        </w:rPr>
        <w:t>,</w:t>
      </w:r>
      <w:r w:rsidRPr="00442CCB">
        <w:rPr>
          <w:lang w:val="es-ES_tradnl"/>
        </w:rPr>
        <w:t xml:space="preserve"> de la Convención, los Estados partes tienen la obligación de respetar el </w:t>
      </w:r>
      <w:r w:rsidR="002A5550" w:rsidRPr="002A5550">
        <w:rPr>
          <w:lang w:val="es-ES_tradnl"/>
        </w:rPr>
        <w:t>derecho del niño que esté separado de uno o de ambos padres a mantener relaciones personales y contacto directo con ambos padres de modo regular, salvo si ello es contrario al interés superior del niño</w:t>
      </w:r>
      <w:r w:rsidR="00CF6A1F">
        <w:rPr>
          <w:lang w:val="es-ES_tradnl"/>
        </w:rPr>
        <w:t>:</w:t>
      </w:r>
    </w:p>
    <w:p w14:paraId="61356CFE" w14:textId="3A7E785F" w:rsidR="00895ED4" w:rsidRDefault="00CF6A1F" w:rsidP="00895ED4">
      <w:pPr>
        <w:pStyle w:val="SingleTxtG"/>
        <w:ind w:left="1701"/>
        <w:rPr>
          <w:lang w:val="es-ES_tradnl"/>
        </w:rPr>
      </w:pPr>
      <w:r>
        <w:rPr>
          <w:lang w:val="es-ES_tradnl"/>
        </w:rPr>
        <w:tab/>
      </w:r>
      <w:r>
        <w:rPr>
          <w:lang w:val="es-ES_tradnl"/>
        </w:rPr>
        <w:tab/>
      </w:r>
      <w:r w:rsidR="009A33DB" w:rsidRPr="009A33DB">
        <w:rPr>
          <w:lang w:val="es-ES_tradnl"/>
        </w:rPr>
        <w:t>La conservación del entorno familiar engloba la preservación de las relaciones del</w:t>
      </w:r>
      <w:r w:rsidR="009A33DB">
        <w:rPr>
          <w:lang w:val="es-ES_tradnl"/>
        </w:rPr>
        <w:t xml:space="preserve"> </w:t>
      </w:r>
      <w:r w:rsidR="009A33DB" w:rsidRPr="009A33DB">
        <w:rPr>
          <w:lang w:val="es-ES_tradnl"/>
        </w:rPr>
        <w:t xml:space="preserve">niño en un sentido amplio. Esas relaciones </w:t>
      </w:r>
      <w:r w:rsidR="0010189E">
        <w:rPr>
          <w:lang w:val="es-ES_tradnl"/>
        </w:rPr>
        <w:t xml:space="preserve">[…] </w:t>
      </w:r>
      <w:r w:rsidR="009A33DB" w:rsidRPr="009A33DB">
        <w:rPr>
          <w:lang w:val="es-ES_tradnl"/>
        </w:rPr>
        <w:t>son particularmente</w:t>
      </w:r>
      <w:r w:rsidR="009A33DB">
        <w:rPr>
          <w:lang w:val="es-ES_tradnl"/>
        </w:rPr>
        <w:t xml:space="preserve"> </w:t>
      </w:r>
      <w:r w:rsidR="009A33DB" w:rsidRPr="009A33DB">
        <w:rPr>
          <w:lang w:val="es-ES_tradnl"/>
        </w:rPr>
        <w:t>importantes cuando los padres están separados y viven en lugares diferentes</w:t>
      </w:r>
      <w:r w:rsidR="0043795B" w:rsidRPr="008A2BE1">
        <w:rPr>
          <w:rStyle w:val="FootnoteReference"/>
          <w:szCs w:val="18"/>
          <w:lang w:val="es-ES_tradnl"/>
        </w:rPr>
        <w:footnoteReference w:id="29"/>
      </w:r>
      <w:r w:rsidR="006E083B">
        <w:rPr>
          <w:lang w:val="es-ES_tradnl"/>
        </w:rPr>
        <w:t>.</w:t>
      </w:r>
    </w:p>
    <w:p w14:paraId="3AD97E82" w14:textId="20DC969A" w:rsidR="00442CCB" w:rsidRPr="00442CCB" w:rsidRDefault="00442CCB">
      <w:pPr>
        <w:pStyle w:val="SingleTxtG"/>
        <w:rPr>
          <w:lang w:val="es-ES_tradnl"/>
        </w:rPr>
      </w:pPr>
      <w:r w:rsidRPr="00442CCB">
        <w:rPr>
          <w:lang w:val="es-ES_tradnl"/>
        </w:rPr>
        <w:t xml:space="preserve">Por consiguiente, el Comité debe determinar si las autoridades del Estado </w:t>
      </w:r>
      <w:r w:rsidR="006E083B">
        <w:rPr>
          <w:lang w:val="es-ES_tradnl"/>
        </w:rPr>
        <w:t>p</w:t>
      </w:r>
      <w:r w:rsidRPr="00442CCB">
        <w:rPr>
          <w:lang w:val="es-ES_tradnl"/>
        </w:rPr>
        <w:t>arte han adoptado medidas eficaces para garantizar la preservación de las relaciones personales y el contacto entre el autor y su hija.</w:t>
      </w:r>
    </w:p>
    <w:p w14:paraId="44D7148C" w14:textId="075AA61E" w:rsidR="00442CCB" w:rsidRPr="0016555F" w:rsidRDefault="00442CCB" w:rsidP="00442CCB">
      <w:pPr>
        <w:pStyle w:val="SingleTxtG"/>
        <w:rPr>
          <w:lang w:val="es-ES_tradnl"/>
        </w:rPr>
      </w:pPr>
      <w:r w:rsidRPr="00AB3C79">
        <w:rPr>
          <w:lang w:val="es-ES_tradnl"/>
        </w:rPr>
        <w:t>8.5</w:t>
      </w:r>
      <w:r w:rsidR="00907FF5">
        <w:rPr>
          <w:lang w:val="es-ES_tradnl"/>
        </w:rPr>
        <w:tab/>
      </w:r>
      <w:r w:rsidR="00FC499B" w:rsidRPr="0016555F">
        <w:rPr>
          <w:lang w:val="es-ES_tradnl"/>
        </w:rPr>
        <w:t>El Comité recuerda que, como regla general, es competencia de las autoridades nacionales interpretar y aplicar la ley nacional, salvo que dicho examen sea claramente arbitrario o equivalga a una denegación de justicia</w:t>
      </w:r>
      <w:r w:rsidR="00AB3C79" w:rsidRPr="008A2BE1">
        <w:rPr>
          <w:rStyle w:val="FootnoteReference"/>
          <w:szCs w:val="18"/>
          <w:lang w:val="es-ES_tradnl"/>
        </w:rPr>
        <w:footnoteReference w:id="30"/>
      </w:r>
      <w:r w:rsidR="00907FF5">
        <w:rPr>
          <w:lang w:val="es-ES_tradnl"/>
        </w:rPr>
        <w:t>.</w:t>
      </w:r>
      <w:r w:rsidR="00AB3C79" w:rsidRPr="00AB3C79">
        <w:rPr>
          <w:lang w:val="es-ES_tradnl"/>
        </w:rPr>
        <w:t xml:space="preserve"> </w:t>
      </w:r>
      <w:r w:rsidR="00AB3C79" w:rsidRPr="009726FE">
        <w:rPr>
          <w:lang w:val="es-ES_tradnl"/>
        </w:rPr>
        <w:t xml:space="preserve">La función del Comité es verificar </w:t>
      </w:r>
      <w:r w:rsidR="00AB3C79" w:rsidRPr="00AB3C79">
        <w:rPr>
          <w:lang w:val="es-ES_tradnl"/>
        </w:rPr>
        <w:t xml:space="preserve">la </w:t>
      </w:r>
      <w:r w:rsidR="00AB3C79" w:rsidRPr="0016555F">
        <w:rPr>
          <w:lang w:val="es-ES_tradnl"/>
        </w:rPr>
        <w:t>ausencia de arbitrariedad o denegación de justicia en la evaluación de las autoridades</w:t>
      </w:r>
      <w:r w:rsidR="00AB3C79" w:rsidRPr="009726FE">
        <w:rPr>
          <w:lang w:val="es-ES_tradnl"/>
        </w:rPr>
        <w:t xml:space="preserve"> y velar por que el </w:t>
      </w:r>
      <w:r w:rsidR="0016555F" w:rsidRPr="0016555F">
        <w:rPr>
          <w:lang w:val="es-ES_tradnl"/>
        </w:rPr>
        <w:t>interés superior del niño haya s</w:t>
      </w:r>
      <w:r w:rsidR="00AB3C79" w:rsidRPr="009726FE">
        <w:rPr>
          <w:lang w:val="es-ES_tradnl"/>
        </w:rPr>
        <w:t>ido una consideración primordial en esa evaluación</w:t>
      </w:r>
      <w:r w:rsidR="00AB3C79" w:rsidRPr="00AB3C79">
        <w:rPr>
          <w:lang w:val="es-ES_tradnl"/>
        </w:rPr>
        <w:t>.</w:t>
      </w:r>
      <w:r w:rsidR="00AB3C79" w:rsidRPr="0016555F">
        <w:rPr>
          <w:lang w:val="es-ES_tradnl"/>
        </w:rPr>
        <w:t xml:space="preserve"> </w:t>
      </w:r>
    </w:p>
    <w:p w14:paraId="0A3C181A" w14:textId="71BA2C33" w:rsidR="00442CCB" w:rsidRPr="00442CCB" w:rsidRDefault="00442CCB" w:rsidP="00442CCB">
      <w:pPr>
        <w:pStyle w:val="SingleTxtG"/>
        <w:rPr>
          <w:lang w:val="es-ES_tradnl"/>
        </w:rPr>
      </w:pPr>
      <w:r w:rsidRPr="0016555F">
        <w:rPr>
          <w:lang w:val="es-ES_tradnl"/>
        </w:rPr>
        <w:t>8.6</w:t>
      </w:r>
      <w:r w:rsidR="00341887">
        <w:rPr>
          <w:lang w:val="es-ES_tradnl"/>
        </w:rPr>
        <w:tab/>
      </w:r>
      <w:r w:rsidRPr="0016555F">
        <w:rPr>
          <w:lang w:val="es-ES_tradnl"/>
        </w:rPr>
        <w:t xml:space="preserve">A este respecto, el Comité toma nota de que, en virtud de la decisión </w:t>
      </w:r>
      <w:r w:rsidR="0011019B">
        <w:rPr>
          <w:lang w:val="es-ES_tradnl"/>
        </w:rPr>
        <w:t>núm.</w:t>
      </w:r>
      <w:r w:rsidRPr="0016555F">
        <w:rPr>
          <w:lang w:val="es-ES_tradnl"/>
        </w:rPr>
        <w:t xml:space="preserve"> 139</w:t>
      </w:r>
      <w:r w:rsidRPr="0094020B">
        <w:rPr>
          <w:lang w:val="es-ES_tradnl"/>
        </w:rPr>
        <w:t>, de 30 de abril de 2015, se estableció un</w:t>
      </w:r>
      <w:r w:rsidR="0094020B" w:rsidRPr="0094020B">
        <w:rPr>
          <w:lang w:val="es-ES_tradnl"/>
        </w:rPr>
        <w:t xml:space="preserve"> plan de visitas entre el autor</w:t>
      </w:r>
      <w:r w:rsidRPr="0094020B">
        <w:rPr>
          <w:lang w:val="es-ES_tradnl"/>
        </w:rPr>
        <w:t xml:space="preserve"> y su hija. Sin embargo, a pesar de las reiteradas peticiones de</w:t>
      </w:r>
      <w:r w:rsidR="0094020B">
        <w:rPr>
          <w:lang w:val="es-ES_tradnl"/>
        </w:rPr>
        <w:t>l autor</w:t>
      </w:r>
      <w:r w:rsidRPr="00442CCB">
        <w:rPr>
          <w:lang w:val="es-ES_tradnl"/>
        </w:rPr>
        <w:t xml:space="preserve"> a lo largo de los años para que se ejecutara esta decisión, y a pesar de una decisión judicial de 25 de abril de 2017 en la que se ordenaba a la madre que facilitara las conversaciones por </w:t>
      </w:r>
      <w:r w:rsidR="0094020B">
        <w:rPr>
          <w:lang w:val="es-ES_tradnl"/>
        </w:rPr>
        <w:t>S</w:t>
      </w:r>
      <w:r w:rsidRPr="00442CCB">
        <w:rPr>
          <w:lang w:val="es-ES_tradnl"/>
        </w:rPr>
        <w:t>kyp</w:t>
      </w:r>
      <w:r w:rsidR="0094020B">
        <w:rPr>
          <w:lang w:val="es-ES_tradnl"/>
        </w:rPr>
        <w:t>e entre C.R. y el autor, esta decisión no se ejecutó</w:t>
      </w:r>
      <w:r w:rsidRPr="00442CCB">
        <w:rPr>
          <w:lang w:val="es-ES_tradnl"/>
        </w:rPr>
        <w:t xml:space="preserve">. El Comité toma nota además del argumento </w:t>
      </w:r>
      <w:r w:rsidR="0094020B" w:rsidRPr="00442CCB">
        <w:rPr>
          <w:lang w:val="es-ES_tradnl"/>
        </w:rPr>
        <w:t>del autor</w:t>
      </w:r>
      <w:r w:rsidR="0094020B">
        <w:rPr>
          <w:lang w:val="es-ES_tradnl"/>
        </w:rPr>
        <w:t>,</w:t>
      </w:r>
      <w:r w:rsidR="0094020B" w:rsidRPr="00442CCB">
        <w:rPr>
          <w:lang w:val="es-ES_tradnl"/>
        </w:rPr>
        <w:t xml:space="preserve"> </w:t>
      </w:r>
      <w:r w:rsidRPr="00442CCB">
        <w:rPr>
          <w:lang w:val="es-ES_tradnl"/>
        </w:rPr>
        <w:t xml:space="preserve">no refutado </w:t>
      </w:r>
      <w:r w:rsidR="0094020B">
        <w:rPr>
          <w:lang w:val="es-ES_tradnl"/>
        </w:rPr>
        <w:t xml:space="preserve">por el Estado parte, </w:t>
      </w:r>
      <w:r w:rsidRPr="00442CCB">
        <w:rPr>
          <w:lang w:val="es-ES_tradnl"/>
        </w:rPr>
        <w:t>de que, a pesar de la decisión de mayo de 2016 en la</w:t>
      </w:r>
      <w:r w:rsidR="00280578">
        <w:rPr>
          <w:lang w:val="es-ES_tradnl"/>
        </w:rPr>
        <w:t xml:space="preserve"> que se ordenaba el involucramiento</w:t>
      </w:r>
      <w:r w:rsidRPr="00442CCB">
        <w:rPr>
          <w:lang w:val="es-ES_tradnl"/>
        </w:rPr>
        <w:t xml:space="preserve"> de un</w:t>
      </w:r>
      <w:r w:rsidR="00280578">
        <w:rPr>
          <w:lang w:val="es-ES_tradnl"/>
        </w:rPr>
        <w:t>a</w:t>
      </w:r>
      <w:r w:rsidRPr="00442CCB">
        <w:rPr>
          <w:lang w:val="es-ES_tradnl"/>
        </w:rPr>
        <w:t xml:space="preserve"> trabajador</w:t>
      </w:r>
      <w:r w:rsidR="00280578">
        <w:rPr>
          <w:lang w:val="es-ES_tradnl"/>
        </w:rPr>
        <w:t>a</w:t>
      </w:r>
      <w:r w:rsidRPr="00442CCB">
        <w:rPr>
          <w:lang w:val="es-ES_tradnl"/>
        </w:rPr>
        <w:t xml:space="preserve"> social y</w:t>
      </w:r>
      <w:r w:rsidR="00280578">
        <w:rPr>
          <w:lang w:val="es-ES_tradnl"/>
        </w:rPr>
        <w:t xml:space="preserve"> de la decisión del 8 de julio de 2019 en la que</w:t>
      </w:r>
      <w:r w:rsidRPr="00442CCB">
        <w:rPr>
          <w:lang w:val="es-ES_tradnl"/>
        </w:rPr>
        <w:t xml:space="preserve"> se concedía la medida cautelar para facilitar el contacto a través de</w:t>
      </w:r>
      <w:r w:rsidR="008B3095">
        <w:rPr>
          <w:lang w:val="es-ES_tradnl"/>
        </w:rPr>
        <w:t xml:space="preserve">l Colegio </w:t>
      </w:r>
      <w:r w:rsidRPr="00442CCB">
        <w:rPr>
          <w:lang w:val="es-ES_tradnl"/>
        </w:rPr>
        <w:t xml:space="preserve">San José, C.R. no </w:t>
      </w:r>
      <w:r w:rsidR="001E1ABE">
        <w:rPr>
          <w:lang w:val="es-ES_tradnl"/>
        </w:rPr>
        <w:t>pudo</w:t>
      </w:r>
      <w:r w:rsidRPr="00442CCB">
        <w:rPr>
          <w:lang w:val="es-ES_tradnl"/>
        </w:rPr>
        <w:t xml:space="preserve"> disfrutar de su derecho a mantener un contacto directo, personal y regular con su padre durante más de cuatro años. </w:t>
      </w:r>
    </w:p>
    <w:p w14:paraId="3E755DBC" w14:textId="0E3E9CFD" w:rsidR="00442CCB" w:rsidRDefault="00442CCB" w:rsidP="00442CCB">
      <w:pPr>
        <w:pStyle w:val="SingleTxtG"/>
        <w:rPr>
          <w:lang w:val="es-ES_tradnl"/>
        </w:rPr>
      </w:pPr>
      <w:r w:rsidRPr="00442CCB">
        <w:rPr>
          <w:lang w:val="es-ES_tradnl"/>
        </w:rPr>
        <w:t>8.7</w:t>
      </w:r>
      <w:r w:rsidR="00341887">
        <w:rPr>
          <w:lang w:val="es-ES_tradnl"/>
        </w:rPr>
        <w:tab/>
      </w:r>
      <w:r w:rsidRPr="00442CCB">
        <w:rPr>
          <w:lang w:val="es-ES_tradnl"/>
        </w:rPr>
        <w:t xml:space="preserve">El Comité considera que los procedimientos judiciales que determinan los derechos de visita entre </w:t>
      </w:r>
      <w:r w:rsidR="002F33C2" w:rsidRPr="002F33C2">
        <w:rPr>
          <w:lang w:val="es-ES_tradnl"/>
        </w:rPr>
        <w:t xml:space="preserve">un niño o niña y un padre o madre </w:t>
      </w:r>
      <w:r w:rsidRPr="00442CCB">
        <w:rPr>
          <w:lang w:val="es-ES_tradnl"/>
        </w:rPr>
        <w:t>del que está separado requieren una tramitación expedita, ya que el paso del tiempo puede tener consecuencias irreparables en las relaciones entre ellos. Ello incluye la rápida ejecución de las decisiones resultantes de esos procedimientos. En el presente caso, el Comité toma nota del argumento del autor</w:t>
      </w:r>
      <w:r w:rsidR="00FA2AEF">
        <w:rPr>
          <w:lang w:val="es-ES_tradnl"/>
        </w:rPr>
        <w:t xml:space="preserve"> no rebatido por el Estado parte</w:t>
      </w:r>
      <w:r w:rsidRPr="00442CCB">
        <w:rPr>
          <w:lang w:val="es-ES_tradnl"/>
        </w:rPr>
        <w:t xml:space="preserve"> de que, a pesar de sus numerosos intentos de asegurar el cumplimiento del régimen de visitas establecido por la decisión del tribunal de 30 de abril de 2015, esta decisión no se ha </w:t>
      </w:r>
      <w:r w:rsidR="002B6153">
        <w:rPr>
          <w:lang w:val="es-ES_tradnl"/>
        </w:rPr>
        <w:t>ejecutado</w:t>
      </w:r>
      <w:r w:rsidRPr="00442CCB">
        <w:rPr>
          <w:lang w:val="es-ES_tradnl"/>
        </w:rPr>
        <w:t xml:space="preserve"> y no ha podido mantener un contacto regular y efectivo con su hija a lo largo de los años. A</w:t>
      </w:r>
      <w:r w:rsidR="007A4068">
        <w:rPr>
          <w:lang w:val="es-ES_tradnl"/>
        </w:rPr>
        <w:t xml:space="preserve">l </w:t>
      </w:r>
      <w:r w:rsidRPr="00442CCB">
        <w:rPr>
          <w:lang w:val="es-ES_tradnl"/>
        </w:rPr>
        <w:t xml:space="preserve">respecto, el Comité toma nota de las observaciones de la madre a la trabajadora social incluidas en la orden interlocutoria </w:t>
      </w:r>
      <w:r w:rsidR="000D2CEE">
        <w:rPr>
          <w:lang w:val="es-ES_tradnl"/>
        </w:rPr>
        <w:t>núm.</w:t>
      </w:r>
      <w:r w:rsidRPr="00442CCB">
        <w:rPr>
          <w:lang w:val="es-ES_tradnl"/>
        </w:rPr>
        <w:t xml:space="preserve"> 60, de 25 de abril de 2017, según las cuales no disponía de recursos para una conexión a Internet y que era la niña la que, por no haber pasado mucho tiempo con su padre, no deseaba viajar con él durante las vacaciones. En el momento en que el tribunal dictó su orden, determinó que </w:t>
      </w:r>
      <w:r w:rsidR="00FE31CC">
        <w:rPr>
          <w:lang w:val="es-ES_tradnl"/>
        </w:rPr>
        <w:t>el mejor interés de la niña</w:t>
      </w:r>
      <w:r w:rsidRPr="00442CCB">
        <w:rPr>
          <w:lang w:val="es-ES_tradnl"/>
        </w:rPr>
        <w:t xml:space="preserve"> era tener contacto con su padre. Si esa orden judicial se hubiera ejecutado efectivamente, se podría haber evi</w:t>
      </w:r>
      <w:r w:rsidR="00FE31CC">
        <w:rPr>
          <w:lang w:val="es-ES_tradnl"/>
        </w:rPr>
        <w:t>tado el problema de la alienación gradual de la niña hacia</w:t>
      </w:r>
      <w:r w:rsidRPr="00442CCB">
        <w:rPr>
          <w:lang w:val="es-ES_tradnl"/>
        </w:rPr>
        <w:t xml:space="preserve"> su padre. En vista de ello, el Comité considera que las autoridades no adoptaron </w:t>
      </w:r>
      <w:r w:rsidR="00DF0E49">
        <w:rPr>
          <w:lang w:val="es-ES_tradnl"/>
        </w:rPr>
        <w:t>en el tiempo oportuno</w:t>
      </w:r>
      <w:r w:rsidR="009C30BC">
        <w:rPr>
          <w:lang w:val="es-ES_tradnl"/>
        </w:rPr>
        <w:t xml:space="preserve"> las</w:t>
      </w:r>
      <w:r w:rsidRPr="00442CCB">
        <w:rPr>
          <w:lang w:val="es-ES_tradnl"/>
        </w:rPr>
        <w:t xml:space="preserve"> medidas suficientes para garantizar que </w:t>
      </w:r>
      <w:r w:rsidR="009020C6">
        <w:rPr>
          <w:lang w:val="es-ES_tradnl"/>
        </w:rPr>
        <w:t>la madre de la hija del autor</w:t>
      </w:r>
      <w:r w:rsidRPr="00442CCB">
        <w:rPr>
          <w:lang w:val="es-ES_tradnl"/>
        </w:rPr>
        <w:t xml:space="preserve"> cumpliera </w:t>
      </w:r>
      <w:r w:rsidR="009020C6">
        <w:rPr>
          <w:lang w:val="es-ES_tradnl"/>
        </w:rPr>
        <w:t xml:space="preserve">con </w:t>
      </w:r>
      <w:r w:rsidRPr="00442CCB">
        <w:rPr>
          <w:lang w:val="es-ES_tradnl"/>
        </w:rPr>
        <w:t>la decisión del tribunal</w:t>
      </w:r>
      <w:r w:rsidR="00DD4ED8" w:rsidRPr="008A2BE1">
        <w:rPr>
          <w:rStyle w:val="FootnoteReference"/>
          <w:szCs w:val="18"/>
          <w:lang w:val="es-ES_tradnl"/>
        </w:rPr>
        <w:footnoteReference w:id="31"/>
      </w:r>
      <w:r w:rsidRPr="00442CCB">
        <w:rPr>
          <w:lang w:val="es-ES_tradnl"/>
        </w:rPr>
        <w:t>.</w:t>
      </w:r>
    </w:p>
    <w:p w14:paraId="3799C94B" w14:textId="28E3041F" w:rsidR="00442CCB" w:rsidRPr="00442CCB" w:rsidRDefault="00442CCB" w:rsidP="00442CCB">
      <w:pPr>
        <w:pStyle w:val="SingleTxtG"/>
        <w:rPr>
          <w:lang w:val="es-ES_tradnl"/>
        </w:rPr>
      </w:pPr>
      <w:r w:rsidRPr="00442CCB">
        <w:rPr>
          <w:lang w:val="es-ES_tradnl"/>
        </w:rPr>
        <w:t>8.8</w:t>
      </w:r>
      <w:r w:rsidR="00341887">
        <w:rPr>
          <w:lang w:val="es-ES_tradnl"/>
        </w:rPr>
        <w:tab/>
      </w:r>
      <w:r w:rsidRPr="00442CCB">
        <w:rPr>
          <w:lang w:val="es-ES_tradnl"/>
        </w:rPr>
        <w:t>Habida cuenta de lo anterior, el Comité considera que la falta de medidas efectivas adoptadas por el Estado parte para garantizar el</w:t>
      </w:r>
      <w:r w:rsidR="001F5C2C">
        <w:rPr>
          <w:lang w:val="es-ES_tradnl"/>
        </w:rPr>
        <w:t xml:space="preserve"> derecho de la hija del autor</w:t>
      </w:r>
      <w:r w:rsidRPr="00442CCB">
        <w:rPr>
          <w:lang w:val="es-ES_tradnl"/>
        </w:rPr>
        <w:t xml:space="preserve"> a mantener relaciones personales y contacto directo con su padre de manera regular, privó a </w:t>
      </w:r>
      <w:r w:rsidR="001F5C2C">
        <w:rPr>
          <w:lang w:val="es-ES_tradnl"/>
        </w:rPr>
        <w:t xml:space="preserve">la niña </w:t>
      </w:r>
      <w:r w:rsidRPr="00442CCB">
        <w:rPr>
          <w:lang w:val="es-ES_tradnl"/>
        </w:rPr>
        <w:t xml:space="preserve">del disfrute de sus derechos en virtud de la Convención. Dadas las circunstancias particulares </w:t>
      </w:r>
      <w:r w:rsidRPr="00442CCB">
        <w:rPr>
          <w:lang w:val="es-ES_tradnl"/>
        </w:rPr>
        <w:lastRenderedPageBreak/>
        <w:t xml:space="preserve">del presente caso, en particular el prolongado período transcurrido desde la decisión judicial de 2015 que determinó los derechos de visita, y teniendo en cuenta la corta edad de la hija del autor en ese momento, el Comité opina que las autoridades no cumplieron las órdenes del tribunal de manera oportuna y eficaz, y </w:t>
      </w:r>
      <w:r w:rsidR="001F5C2C">
        <w:rPr>
          <w:lang w:val="es-ES_tradnl"/>
        </w:rPr>
        <w:t>que</w:t>
      </w:r>
      <w:r w:rsidRPr="00442CCB">
        <w:rPr>
          <w:lang w:val="es-ES_tradnl"/>
        </w:rPr>
        <w:t xml:space="preserve"> no tomaron las medidas necesarias para garantizar el cumplimiento de esas órdenes para asegurar el contacto del autor con su hija. El Comité </w:t>
      </w:r>
      <w:r w:rsidR="000B2C02">
        <w:rPr>
          <w:lang w:val="es-ES_tradnl"/>
        </w:rPr>
        <w:t>concluye</w:t>
      </w:r>
      <w:r w:rsidRPr="00442CCB">
        <w:rPr>
          <w:lang w:val="es-ES_tradnl"/>
        </w:rPr>
        <w:t xml:space="preserve"> que ello equivale a una violación de</w:t>
      </w:r>
      <w:r w:rsidR="000B2C02">
        <w:rPr>
          <w:lang w:val="es-ES_tradnl"/>
        </w:rPr>
        <w:t xml:space="preserve"> los </w:t>
      </w:r>
      <w:r w:rsidRPr="00442CCB">
        <w:rPr>
          <w:lang w:val="es-ES_tradnl"/>
        </w:rPr>
        <w:t>artículo</w:t>
      </w:r>
      <w:r w:rsidR="000B2C02">
        <w:rPr>
          <w:lang w:val="es-ES_tradnl"/>
        </w:rPr>
        <w:t>s</w:t>
      </w:r>
      <w:r w:rsidRPr="00442CCB">
        <w:rPr>
          <w:lang w:val="es-ES_tradnl"/>
        </w:rPr>
        <w:t xml:space="preserve"> 3, 9</w:t>
      </w:r>
      <w:r w:rsidR="000D2CEE">
        <w:rPr>
          <w:lang w:val="es-ES_tradnl"/>
        </w:rPr>
        <w:t>, párrafo</w:t>
      </w:r>
      <w:r w:rsidR="000B2C02">
        <w:rPr>
          <w:lang w:val="es-ES_tradnl"/>
        </w:rPr>
        <w:t xml:space="preserve"> 3</w:t>
      </w:r>
      <w:r w:rsidR="000D2CEE">
        <w:rPr>
          <w:lang w:val="es-ES_tradnl"/>
        </w:rPr>
        <w:t>,</w:t>
      </w:r>
      <w:r w:rsidRPr="00442CCB">
        <w:rPr>
          <w:lang w:val="es-ES_tradnl"/>
        </w:rPr>
        <w:t xml:space="preserve"> y 10</w:t>
      </w:r>
      <w:r w:rsidR="000D2CEE">
        <w:rPr>
          <w:lang w:val="es-ES_tradnl"/>
        </w:rPr>
        <w:t>, párrafo</w:t>
      </w:r>
      <w:r w:rsidR="000B2C02">
        <w:rPr>
          <w:lang w:val="es-ES_tradnl"/>
        </w:rPr>
        <w:t xml:space="preserve"> 2</w:t>
      </w:r>
      <w:r w:rsidR="000D2CEE">
        <w:rPr>
          <w:lang w:val="es-ES_tradnl"/>
        </w:rPr>
        <w:t>,</w:t>
      </w:r>
      <w:r w:rsidRPr="00442CCB">
        <w:rPr>
          <w:lang w:val="es-ES_tradnl"/>
        </w:rPr>
        <w:t xml:space="preserve"> de la Convención.</w:t>
      </w:r>
    </w:p>
    <w:p w14:paraId="21CC0D7A" w14:textId="49F96D10" w:rsidR="00442CCB" w:rsidRPr="00442CCB" w:rsidRDefault="00442CCB" w:rsidP="00442CCB">
      <w:pPr>
        <w:pStyle w:val="SingleTxtG"/>
        <w:rPr>
          <w:lang w:val="es-ES_tradnl"/>
        </w:rPr>
      </w:pPr>
      <w:r w:rsidRPr="00442CCB">
        <w:rPr>
          <w:lang w:val="es-ES_tradnl"/>
        </w:rPr>
        <w:t>8.9</w:t>
      </w:r>
      <w:r w:rsidR="00AC2BF8">
        <w:rPr>
          <w:lang w:val="es-ES_tradnl"/>
        </w:rPr>
        <w:tab/>
      </w:r>
      <w:r w:rsidRPr="00442CCB">
        <w:rPr>
          <w:lang w:val="es-ES_tradnl"/>
        </w:rPr>
        <w:t xml:space="preserve">Habiendo determinado que se ha producido una violación de los artículos </w:t>
      </w:r>
      <w:r w:rsidR="00893456" w:rsidRPr="00442CCB">
        <w:rPr>
          <w:lang w:val="es-ES_tradnl"/>
        </w:rPr>
        <w:t>3, 9</w:t>
      </w:r>
      <w:r w:rsidR="000D2CEE">
        <w:rPr>
          <w:lang w:val="es-ES_tradnl"/>
        </w:rPr>
        <w:t>, párrafo</w:t>
      </w:r>
      <w:r w:rsidR="00893456">
        <w:rPr>
          <w:lang w:val="es-ES_tradnl"/>
        </w:rPr>
        <w:t xml:space="preserve"> 3</w:t>
      </w:r>
      <w:r w:rsidR="000D2CEE">
        <w:rPr>
          <w:lang w:val="es-ES_tradnl"/>
        </w:rPr>
        <w:t>,</w:t>
      </w:r>
      <w:r w:rsidR="00893456" w:rsidRPr="00442CCB">
        <w:rPr>
          <w:lang w:val="es-ES_tradnl"/>
        </w:rPr>
        <w:t xml:space="preserve"> y 10</w:t>
      </w:r>
      <w:r w:rsidR="000D2CEE">
        <w:rPr>
          <w:lang w:val="es-ES_tradnl"/>
        </w:rPr>
        <w:t>, párrafo</w:t>
      </w:r>
      <w:r w:rsidR="00893456">
        <w:rPr>
          <w:lang w:val="es-ES_tradnl"/>
        </w:rPr>
        <w:t xml:space="preserve"> 2</w:t>
      </w:r>
      <w:r w:rsidR="000D2CEE">
        <w:rPr>
          <w:lang w:val="es-ES_tradnl"/>
        </w:rPr>
        <w:t>,</w:t>
      </w:r>
      <w:r w:rsidR="00893456" w:rsidRPr="00442CCB">
        <w:rPr>
          <w:lang w:val="es-ES_tradnl"/>
        </w:rPr>
        <w:t xml:space="preserve"> </w:t>
      </w:r>
      <w:r w:rsidRPr="00442CCB">
        <w:rPr>
          <w:lang w:val="es-ES_tradnl"/>
        </w:rPr>
        <w:t>de la Convención, el Comité no considera necesario examinar si los mismos hechos constituyen una violación separada de los artículos 4 y 5 de la Convención.</w:t>
      </w:r>
    </w:p>
    <w:p w14:paraId="2C2DC2E2" w14:textId="239A1DF1" w:rsidR="00442CCB" w:rsidRPr="00442CCB" w:rsidRDefault="00442CCB" w:rsidP="00442CCB">
      <w:pPr>
        <w:pStyle w:val="SingleTxtG"/>
        <w:rPr>
          <w:lang w:val="es-ES_tradnl"/>
        </w:rPr>
      </w:pPr>
      <w:r w:rsidRPr="00442CCB">
        <w:rPr>
          <w:lang w:val="es-ES_tradnl"/>
        </w:rPr>
        <w:t>8.10</w:t>
      </w:r>
      <w:r w:rsidR="00AC2BF8">
        <w:rPr>
          <w:lang w:val="es-ES_tradnl"/>
        </w:rPr>
        <w:tab/>
      </w:r>
      <w:r w:rsidR="00111A09" w:rsidRPr="00425930">
        <w:t xml:space="preserve">El Comité de los Derechos del Niño, actuando en virtud del artículo 10, párrafo 5, del Protocolo Facultativo de la Convención sobre los Derechos del Niño relativo a un procedimiento de comunicaciones, dictamina que los hechos que tiene ante sí ponen de manifiesto </w:t>
      </w:r>
      <w:r w:rsidR="00111A09" w:rsidRPr="00D34ED0">
        <w:t xml:space="preserve">violaciones de los artículos </w:t>
      </w:r>
      <w:r w:rsidRPr="00442CCB">
        <w:rPr>
          <w:lang w:val="es-ES_tradnl"/>
        </w:rPr>
        <w:t xml:space="preserve">del artículo </w:t>
      </w:r>
      <w:r w:rsidR="003F00E7" w:rsidRPr="00442CCB">
        <w:rPr>
          <w:lang w:val="es-ES_tradnl"/>
        </w:rPr>
        <w:t>3, 9</w:t>
      </w:r>
      <w:r w:rsidR="000D2CEE">
        <w:rPr>
          <w:lang w:val="es-ES_tradnl"/>
        </w:rPr>
        <w:t>, párrafo</w:t>
      </w:r>
      <w:r w:rsidR="003F00E7">
        <w:rPr>
          <w:lang w:val="es-ES_tradnl"/>
        </w:rPr>
        <w:t xml:space="preserve"> 3</w:t>
      </w:r>
      <w:r w:rsidR="000D2CEE">
        <w:rPr>
          <w:lang w:val="es-ES_tradnl"/>
        </w:rPr>
        <w:t>,</w:t>
      </w:r>
      <w:r w:rsidR="003F00E7" w:rsidRPr="00442CCB">
        <w:rPr>
          <w:lang w:val="es-ES_tradnl"/>
        </w:rPr>
        <w:t xml:space="preserve"> y 10</w:t>
      </w:r>
      <w:r w:rsidR="000D2CEE">
        <w:rPr>
          <w:lang w:val="es-ES_tradnl"/>
        </w:rPr>
        <w:t>, párrafo</w:t>
      </w:r>
      <w:r w:rsidR="003F00E7">
        <w:rPr>
          <w:lang w:val="es-ES_tradnl"/>
        </w:rPr>
        <w:t xml:space="preserve"> 2</w:t>
      </w:r>
      <w:r w:rsidR="000D2CEE">
        <w:rPr>
          <w:lang w:val="es-ES_tradnl"/>
        </w:rPr>
        <w:t>,</w:t>
      </w:r>
      <w:r w:rsidR="003F00E7" w:rsidRPr="00442CCB">
        <w:rPr>
          <w:lang w:val="es-ES_tradnl"/>
        </w:rPr>
        <w:t xml:space="preserve"> </w:t>
      </w:r>
      <w:r w:rsidRPr="00442CCB">
        <w:rPr>
          <w:lang w:val="es-ES_tradnl"/>
        </w:rPr>
        <w:t>de la Convención.</w:t>
      </w:r>
      <w:r w:rsidR="00774E42">
        <w:rPr>
          <w:lang w:val="es-ES_tradnl"/>
        </w:rPr>
        <w:t xml:space="preserve"> </w:t>
      </w:r>
    </w:p>
    <w:p w14:paraId="729A2F77" w14:textId="1AD1BDDA" w:rsidR="00442CCB" w:rsidRPr="00442CCB" w:rsidRDefault="00442CCB" w:rsidP="00442CCB">
      <w:pPr>
        <w:pStyle w:val="SingleTxtG"/>
        <w:rPr>
          <w:lang w:val="es-ES_tradnl"/>
        </w:rPr>
      </w:pPr>
      <w:r w:rsidRPr="00442CCB">
        <w:rPr>
          <w:lang w:val="es-ES_tradnl"/>
        </w:rPr>
        <w:t>9.</w:t>
      </w:r>
      <w:r w:rsidR="00AC2BF8">
        <w:rPr>
          <w:lang w:val="es-ES_tradnl"/>
        </w:rPr>
        <w:tab/>
      </w:r>
      <w:r w:rsidRPr="00442CCB">
        <w:rPr>
          <w:lang w:val="es-ES_tradnl"/>
        </w:rPr>
        <w:t>Por consiguiente, el Estado parte debería proporcionar a la hija del autor una reparación efectiva por las violaciones sufridas, en particular mediante la adopción de medidas eficac</w:t>
      </w:r>
      <w:r w:rsidR="001253DE">
        <w:rPr>
          <w:lang w:val="es-ES_tradnl"/>
        </w:rPr>
        <w:t xml:space="preserve">es para garantizar la ejecución </w:t>
      </w:r>
      <w:r w:rsidRPr="00442CCB">
        <w:rPr>
          <w:lang w:val="es-ES_tradnl"/>
        </w:rPr>
        <w:t xml:space="preserve">de la sentencia definitiva </w:t>
      </w:r>
      <w:r w:rsidR="000D2CEE">
        <w:rPr>
          <w:lang w:val="es-ES_tradnl"/>
        </w:rPr>
        <w:t>núm.</w:t>
      </w:r>
      <w:r w:rsidRPr="00442CCB">
        <w:rPr>
          <w:lang w:val="es-ES_tradnl"/>
        </w:rPr>
        <w:t xml:space="preserve"> 139, de 30 de abril de 2015, por la que se establece el régimen de visitas entre el autor y su hija, </w:t>
      </w:r>
      <w:r w:rsidR="001253DE">
        <w:rPr>
          <w:lang w:val="es-ES_tradnl"/>
        </w:rPr>
        <w:t>incluido</w:t>
      </w:r>
      <w:r w:rsidRPr="00442CCB">
        <w:rPr>
          <w:lang w:val="es-ES_tradnl"/>
        </w:rPr>
        <w:t xml:space="preserve"> mediante el asesoramiento y otros servicios de apoyo apropiados y proactivos para tratar de reconstruir la relación entre la niña y su padre teniendo debidamente en cuenta una evaluación del interés superior en el momento actual. El Estado parte también tiene la obligación de</w:t>
      </w:r>
      <w:r w:rsidR="00774E42">
        <w:rPr>
          <w:lang w:val="es-ES_tradnl"/>
        </w:rPr>
        <w:t xml:space="preserve"> prevenir</w:t>
      </w:r>
      <w:r w:rsidRPr="00442CCB">
        <w:rPr>
          <w:lang w:val="es-ES_tradnl"/>
        </w:rPr>
        <w:t xml:space="preserve"> que se cometan violacione</w:t>
      </w:r>
      <w:r w:rsidR="00774E42">
        <w:rPr>
          <w:lang w:val="es-ES_tradnl"/>
        </w:rPr>
        <w:t>s similares en el futuro. Al</w:t>
      </w:r>
      <w:r w:rsidRPr="00442CCB">
        <w:rPr>
          <w:lang w:val="es-ES_tradnl"/>
        </w:rPr>
        <w:t xml:space="preserve"> respecto, el Comité recomienda </w:t>
      </w:r>
      <w:r w:rsidR="00BC46C7">
        <w:rPr>
          <w:lang w:val="es-ES_tradnl"/>
        </w:rPr>
        <w:t>al</w:t>
      </w:r>
      <w:r w:rsidRPr="00442CCB">
        <w:rPr>
          <w:lang w:val="es-ES_tradnl"/>
        </w:rPr>
        <w:t xml:space="preserve"> Estado </w:t>
      </w:r>
      <w:r w:rsidR="000D2CEE">
        <w:rPr>
          <w:lang w:val="es-ES_tradnl"/>
        </w:rPr>
        <w:t>p</w:t>
      </w:r>
      <w:r w:rsidRPr="00442CCB">
        <w:rPr>
          <w:lang w:val="es-ES_tradnl"/>
        </w:rPr>
        <w:t>arte:</w:t>
      </w:r>
    </w:p>
    <w:p w14:paraId="201BE07E" w14:textId="7E8C0F85" w:rsidR="00442CCB" w:rsidRPr="00442CCB" w:rsidRDefault="00BC46C7" w:rsidP="00DF722F">
      <w:pPr>
        <w:pStyle w:val="SingleTxtG"/>
        <w:rPr>
          <w:lang w:val="es-ES_tradnl"/>
        </w:rPr>
      </w:pPr>
      <w:r>
        <w:rPr>
          <w:lang w:val="es-ES_tradnl"/>
        </w:rPr>
        <w:tab/>
        <w:t>a)</w:t>
      </w:r>
      <w:r w:rsidR="00AC2BF8">
        <w:rPr>
          <w:lang w:val="es-ES_tradnl"/>
        </w:rPr>
        <w:tab/>
      </w:r>
      <w:r>
        <w:rPr>
          <w:lang w:val="es-ES_tradnl"/>
        </w:rPr>
        <w:t>Adoptar</w:t>
      </w:r>
      <w:r w:rsidR="00442CCB" w:rsidRPr="00442CCB">
        <w:rPr>
          <w:lang w:val="es-ES_tradnl"/>
        </w:rPr>
        <w:t xml:space="preserve"> las medidas</w:t>
      </w:r>
      <w:r w:rsidR="00422C43">
        <w:rPr>
          <w:lang w:val="es-ES_tradnl"/>
        </w:rPr>
        <w:t xml:space="preserve"> necesarias para garantizar la ejecución </w:t>
      </w:r>
      <w:r w:rsidR="00442CCB" w:rsidRPr="00442CCB">
        <w:rPr>
          <w:lang w:val="es-ES_tradnl"/>
        </w:rPr>
        <w:t xml:space="preserve">inmediata y efectiva de las decisiones judiciales de manera </w:t>
      </w:r>
      <w:r w:rsidR="002252D9">
        <w:rPr>
          <w:lang w:val="es-ES_tradnl"/>
        </w:rPr>
        <w:t>amigable para</w:t>
      </w:r>
      <w:r w:rsidR="00442CCB" w:rsidRPr="00442CCB">
        <w:rPr>
          <w:lang w:val="es-ES_tradnl"/>
        </w:rPr>
        <w:t xml:space="preserve"> los niños, </w:t>
      </w:r>
      <w:r w:rsidR="00774E42">
        <w:rPr>
          <w:lang w:val="es-ES_tradnl"/>
        </w:rPr>
        <w:t>con el fin</w:t>
      </w:r>
      <w:r w:rsidR="00442CCB" w:rsidRPr="00442CCB">
        <w:rPr>
          <w:lang w:val="es-ES_tradnl"/>
        </w:rPr>
        <w:t xml:space="preserve"> de restablecer y mantener el contacto entre el niño </w:t>
      </w:r>
      <w:r w:rsidR="00B569AB">
        <w:rPr>
          <w:lang w:val="es-ES_tradnl"/>
        </w:rPr>
        <w:t xml:space="preserve">o niña </w:t>
      </w:r>
      <w:r w:rsidR="00442CCB" w:rsidRPr="00442CCB">
        <w:rPr>
          <w:lang w:val="es-ES_tradnl"/>
        </w:rPr>
        <w:t>y sus padres</w:t>
      </w:r>
      <w:r w:rsidR="00EA5852">
        <w:rPr>
          <w:lang w:val="es-ES_tradnl"/>
        </w:rPr>
        <w:t>;</w:t>
      </w:r>
    </w:p>
    <w:p w14:paraId="688009C7" w14:textId="2D5EEB38" w:rsidR="00442CCB" w:rsidRPr="00442CCB" w:rsidRDefault="00AC2BF8" w:rsidP="00DF722F">
      <w:pPr>
        <w:pStyle w:val="SingleTxtG"/>
        <w:rPr>
          <w:lang w:val="es-ES_tradnl"/>
        </w:rPr>
      </w:pPr>
      <w:r>
        <w:rPr>
          <w:lang w:val="es-ES_tradnl"/>
        </w:rPr>
        <w:tab/>
      </w:r>
      <w:r w:rsidR="00BC46C7">
        <w:rPr>
          <w:lang w:val="es-ES_tradnl"/>
        </w:rPr>
        <w:t>b)</w:t>
      </w:r>
      <w:r>
        <w:rPr>
          <w:lang w:val="es-ES_tradnl"/>
        </w:rPr>
        <w:tab/>
      </w:r>
      <w:r w:rsidR="00BC46C7">
        <w:rPr>
          <w:lang w:val="es-ES_tradnl"/>
        </w:rPr>
        <w:t>Capacitar</w:t>
      </w:r>
      <w:r w:rsidR="00442CCB" w:rsidRPr="00442CCB">
        <w:rPr>
          <w:lang w:val="es-ES_tradnl"/>
        </w:rPr>
        <w:t xml:space="preserve"> a los jueces, los miembros de la Secretaría Nacional de la Niñez y la Adolescencia y otros profesionales </w:t>
      </w:r>
      <w:r w:rsidR="00BC46C7">
        <w:rPr>
          <w:lang w:val="es-ES_tradnl"/>
        </w:rPr>
        <w:t>competentes</w:t>
      </w:r>
      <w:r w:rsidR="00442CCB" w:rsidRPr="00442CCB">
        <w:rPr>
          <w:lang w:val="es-ES_tradnl"/>
        </w:rPr>
        <w:t xml:space="preserve"> sobre el derecho del niño a mantener relaciones personales y contacto directo con ambos padres de manera regular y, en particular, sobre la </w:t>
      </w:r>
      <w:r w:rsidR="00FA0A46">
        <w:rPr>
          <w:lang w:val="es-ES_tradnl"/>
        </w:rPr>
        <w:t>o</w:t>
      </w:r>
      <w:r w:rsidR="00442CCB" w:rsidRPr="00442CCB">
        <w:rPr>
          <w:lang w:val="es-ES_tradnl"/>
        </w:rPr>
        <w:t xml:space="preserve">bservación general </w:t>
      </w:r>
      <w:r w:rsidR="00FA0A46">
        <w:rPr>
          <w:lang w:val="es-ES_tradnl"/>
        </w:rPr>
        <w:t>núm.</w:t>
      </w:r>
      <w:r w:rsidR="00442CCB" w:rsidRPr="00442CCB">
        <w:rPr>
          <w:lang w:val="es-ES_tradnl"/>
        </w:rPr>
        <w:t xml:space="preserve"> 14 del Comité.</w:t>
      </w:r>
    </w:p>
    <w:p w14:paraId="1304067D" w14:textId="361A6516" w:rsidR="00442CCB" w:rsidRDefault="00442CCB" w:rsidP="00442CCB">
      <w:pPr>
        <w:pStyle w:val="SingleTxtG"/>
        <w:rPr>
          <w:lang w:val="es-ES_tradnl"/>
        </w:rPr>
      </w:pPr>
      <w:r w:rsidRPr="00442CCB">
        <w:rPr>
          <w:lang w:val="es-ES_tradnl"/>
        </w:rPr>
        <w:t>1</w:t>
      </w:r>
      <w:r w:rsidR="00F15412">
        <w:rPr>
          <w:lang w:val="es-ES_tradnl"/>
        </w:rPr>
        <w:t>0</w:t>
      </w:r>
      <w:r w:rsidRPr="00442CCB">
        <w:rPr>
          <w:lang w:val="es-ES_tradnl"/>
        </w:rPr>
        <w:t>.</w:t>
      </w:r>
      <w:r w:rsidR="00AC2BF8">
        <w:rPr>
          <w:lang w:val="es-ES_tradnl"/>
        </w:rPr>
        <w:tab/>
      </w:r>
      <w:r w:rsidR="00286993" w:rsidRPr="00425930">
        <w:t>Con arreglo a lo establecido en el artículo 11 del Protocolo Facultativo, el Comité desea recibir del Estado parte, a la mayor brevedad y en un plazo de 180 días, información sobre las medidas que haya adoptado para aplicar el dictamen del Comité. Asimismo, pide al Estado parte que incluya información sobre esas medidas en los informes que presente en virtud del artículo 44 de la Convención. Por último, se pide al Estado parte que publique el dictamen del Comité y le dé amplia difusió</w:t>
      </w:r>
      <w:r w:rsidR="00286993">
        <w:t>n.</w:t>
      </w:r>
    </w:p>
    <w:p w14:paraId="2E974C18" w14:textId="638A8618" w:rsidR="00381C24" w:rsidRPr="003656B6" w:rsidRDefault="00E677E9" w:rsidP="00310EC3">
      <w:pPr>
        <w:pStyle w:val="SingleTxtG"/>
        <w:suppressAutoHyphens/>
        <w:spacing w:before="240" w:after="0"/>
        <w:jc w:val="center"/>
        <w:rPr>
          <w:u w:val="single"/>
        </w:rPr>
      </w:pPr>
      <w:r>
        <w:rPr>
          <w:u w:val="single"/>
        </w:rPr>
        <w:tab/>
      </w:r>
      <w:r>
        <w:rPr>
          <w:u w:val="single"/>
        </w:rPr>
        <w:tab/>
      </w:r>
      <w:r>
        <w:rPr>
          <w:u w:val="single"/>
        </w:rPr>
        <w:tab/>
      </w:r>
    </w:p>
    <w:sectPr w:rsidR="00381C24" w:rsidRPr="003656B6" w:rsidSect="00DA7664">
      <w:headerReference w:type="even" r:id="rId9"/>
      <w:headerReference w:type="default" r:id="rId10"/>
      <w:footerReference w:type="even" r:id="rId11"/>
      <w:footerReference w:type="default" r:id="rId12"/>
      <w:headerReference w:type="first" r:id="rId13"/>
      <w:footerReference w:type="first" r:id="rId14"/>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24AC4" w14:textId="77777777" w:rsidR="00980FD0" w:rsidRDefault="00980FD0">
      <w:r>
        <w:separator/>
      </w:r>
    </w:p>
  </w:endnote>
  <w:endnote w:type="continuationSeparator" w:id="0">
    <w:p w14:paraId="7A0CBDDF" w14:textId="77777777" w:rsidR="00980FD0" w:rsidRDefault="0098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20B0604020202020204"/>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382AC" w14:textId="028BB93A" w:rsidR="00921794" w:rsidRPr="00DA7664" w:rsidRDefault="00921794" w:rsidP="00DA7664">
    <w:pPr>
      <w:pStyle w:val="Footer"/>
      <w:tabs>
        <w:tab w:val="right" w:pos="9638"/>
      </w:tabs>
    </w:pPr>
    <w:r w:rsidRPr="00DA7664">
      <w:rPr>
        <w:b/>
        <w:sz w:val="18"/>
      </w:rPr>
      <w:fldChar w:fldCharType="begin"/>
    </w:r>
    <w:r w:rsidRPr="00DA7664">
      <w:rPr>
        <w:b/>
        <w:sz w:val="18"/>
      </w:rPr>
      <w:instrText xml:space="preserve"> PAGE  \* MERGEFORMAT </w:instrText>
    </w:r>
    <w:r w:rsidRPr="00DA7664">
      <w:rPr>
        <w:b/>
        <w:sz w:val="18"/>
      </w:rPr>
      <w:fldChar w:fldCharType="separate"/>
    </w:r>
    <w:r w:rsidR="00674715">
      <w:rPr>
        <w:b/>
        <w:noProof/>
        <w:sz w:val="18"/>
      </w:rPr>
      <w:t>12</w:t>
    </w:r>
    <w:r w:rsidRPr="00DA766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F9A2A" w14:textId="5B631B31" w:rsidR="00921794" w:rsidRPr="00DA7664" w:rsidRDefault="00921794" w:rsidP="00DA7664">
    <w:pPr>
      <w:pStyle w:val="Footer"/>
      <w:tabs>
        <w:tab w:val="right" w:pos="9638"/>
      </w:tabs>
      <w:rPr>
        <w:b/>
        <w:sz w:val="18"/>
      </w:rPr>
    </w:pPr>
    <w:r>
      <w:tab/>
    </w:r>
    <w:r w:rsidRPr="00DA7664">
      <w:rPr>
        <w:b/>
        <w:sz w:val="18"/>
      </w:rPr>
      <w:fldChar w:fldCharType="begin"/>
    </w:r>
    <w:r w:rsidRPr="00DA7664">
      <w:rPr>
        <w:b/>
        <w:sz w:val="18"/>
      </w:rPr>
      <w:instrText xml:space="preserve"> PAGE  \* MERGEFORMAT </w:instrText>
    </w:r>
    <w:r w:rsidRPr="00DA7664">
      <w:rPr>
        <w:b/>
        <w:sz w:val="18"/>
      </w:rPr>
      <w:fldChar w:fldCharType="separate"/>
    </w:r>
    <w:r w:rsidR="00674715">
      <w:rPr>
        <w:b/>
        <w:noProof/>
        <w:sz w:val="18"/>
      </w:rPr>
      <w:t>11</w:t>
    </w:r>
    <w:r w:rsidRPr="00DA766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E7FF3" w14:textId="189A4EE8" w:rsidR="001B36A7" w:rsidRPr="001B36A7" w:rsidRDefault="001B36A7" w:rsidP="001B36A7">
    <w:pPr>
      <w:pStyle w:val="Footer"/>
      <w:spacing w:before="120" w:line="240" w:lineRule="auto"/>
      <w:rPr>
        <w:sz w:val="20"/>
      </w:rPr>
    </w:pPr>
    <w:r>
      <w:rPr>
        <w:sz w:val="20"/>
      </w:rPr>
      <w:t>GE.20-03925  (S)</w:t>
    </w:r>
    <w:r>
      <w:rPr>
        <w:sz w:val="20"/>
      </w:rPr>
      <w:br/>
    </w:r>
    <w:r w:rsidRPr="001B36A7">
      <w:rPr>
        <w:rFonts w:ascii="C39T30Lfz" w:hAnsi="C39T30Lfz"/>
        <w:sz w:val="56"/>
      </w:rPr>
      <w:t></w:t>
    </w:r>
    <w:r w:rsidRPr="001B36A7">
      <w:rPr>
        <w:rFonts w:ascii="C39T30Lfz" w:hAnsi="C39T30Lfz"/>
        <w:sz w:val="56"/>
      </w:rPr>
      <w:t></w:t>
    </w:r>
    <w:r w:rsidRPr="001B36A7">
      <w:rPr>
        <w:rFonts w:ascii="C39T30Lfz" w:hAnsi="C39T30Lfz"/>
        <w:sz w:val="56"/>
      </w:rPr>
      <w:t></w:t>
    </w:r>
    <w:r w:rsidRPr="001B36A7">
      <w:rPr>
        <w:rFonts w:ascii="C39T30Lfz" w:hAnsi="C39T30Lfz"/>
        <w:sz w:val="56"/>
      </w:rPr>
      <w:t></w:t>
    </w:r>
    <w:r w:rsidRPr="001B36A7">
      <w:rPr>
        <w:rFonts w:ascii="C39T30Lfz" w:hAnsi="C39T30Lfz"/>
        <w:sz w:val="56"/>
      </w:rPr>
      <w:t></w:t>
    </w:r>
    <w:r w:rsidRPr="001B36A7">
      <w:rPr>
        <w:rFonts w:ascii="C39T30Lfz" w:hAnsi="C39T30Lfz"/>
        <w:sz w:val="56"/>
      </w:rPr>
      <w:t></w:t>
    </w:r>
    <w:r w:rsidRPr="001B36A7">
      <w:rPr>
        <w:rFonts w:ascii="C39T30Lfz" w:hAnsi="C39T30Lfz"/>
        <w:sz w:val="56"/>
      </w:rPr>
      <w:t></w:t>
    </w:r>
    <w:r w:rsidRPr="001B36A7">
      <w:rPr>
        <w:rFonts w:ascii="C39T30Lfz" w:hAnsi="C39T30Lfz"/>
        <w:sz w:val="56"/>
      </w:rPr>
      <w:t></w:t>
    </w:r>
    <w:r w:rsidRPr="001B36A7">
      <w:rPr>
        <w:rFonts w:ascii="C39T30Lfz" w:hAnsi="C39T30Lfz"/>
        <w:sz w:val="56"/>
      </w:rPr>
      <w:t></w:t>
    </w:r>
    <w:r w:rsidRPr="001B36A7">
      <w:rPr>
        <w:rFonts w:ascii="C39T30Lfz" w:hAnsi="C39T30Lfz"/>
        <w:noProof/>
        <w:sz w:val="56"/>
        <w:lang w:eastAsia="zh-CN"/>
      </w:rPr>
      <w:drawing>
        <wp:anchor distT="0" distB="0" distL="114300" distR="114300" simplePos="0" relativeHeight="251660288" behindDoc="0" locked="1" layoutInCell="1" allowOverlap="1" wp14:anchorId="72D1C8BC" wp14:editId="750EC5CF">
          <wp:simplePos x="0" y="0"/>
          <wp:positionH relativeFrom="margin">
            <wp:posOffset>4319905</wp:posOffset>
          </wp:positionH>
          <wp:positionV relativeFrom="margin">
            <wp:posOffset>9145270</wp:posOffset>
          </wp:positionV>
          <wp:extent cx="1087200" cy="230400"/>
          <wp:effectExtent l="0" t="0" r="0" b="0"/>
          <wp:wrapNone/>
          <wp:docPr id="3"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zh-CN"/>
      </w:rPr>
      <w:drawing>
        <wp:anchor distT="0" distB="0" distL="114300" distR="114300" simplePos="0" relativeHeight="251658240" behindDoc="0" locked="0" layoutInCell="1" allowOverlap="1" wp14:anchorId="5061E886" wp14:editId="730CFA20">
          <wp:simplePos x="0" y="0"/>
          <wp:positionH relativeFrom="margin">
            <wp:posOffset>5489575</wp:posOffset>
          </wp:positionH>
          <wp:positionV relativeFrom="margin">
            <wp:posOffset>8891905</wp:posOffset>
          </wp:positionV>
          <wp:extent cx="561975" cy="561975"/>
          <wp:effectExtent l="0" t="0" r="9525" b="9525"/>
          <wp:wrapNone/>
          <wp:docPr id="1" name="Picture 1" descr="https://undocs.org/m2/QRCode.ashx?DS=CRC/C/81/DR/16/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1/DR/16/20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646B1" w14:textId="77777777" w:rsidR="00980FD0" w:rsidRPr="001075E9" w:rsidRDefault="00980FD0" w:rsidP="001075E9">
      <w:pPr>
        <w:tabs>
          <w:tab w:val="right" w:pos="2155"/>
        </w:tabs>
        <w:spacing w:after="80" w:line="240" w:lineRule="auto"/>
        <w:ind w:left="680"/>
        <w:rPr>
          <w:u w:val="single"/>
        </w:rPr>
      </w:pPr>
      <w:r>
        <w:rPr>
          <w:u w:val="single"/>
        </w:rPr>
        <w:tab/>
      </w:r>
    </w:p>
  </w:footnote>
  <w:footnote w:type="continuationSeparator" w:id="0">
    <w:p w14:paraId="022A85F9" w14:textId="77777777" w:rsidR="00980FD0" w:rsidRDefault="00980FD0">
      <w:r>
        <w:continuationSeparator/>
      </w:r>
    </w:p>
  </w:footnote>
  <w:footnote w:id="1">
    <w:p w14:paraId="5AD45D48" w14:textId="3F13BC0A" w:rsidR="00921794" w:rsidRPr="00E64199" w:rsidRDefault="00921794">
      <w:pPr>
        <w:pStyle w:val="FootnoteText"/>
      </w:pPr>
      <w:r>
        <w:rPr>
          <w:rStyle w:val="FootnoteReference"/>
        </w:rPr>
        <w:tab/>
      </w:r>
      <w:r w:rsidRPr="00AC0BD3">
        <w:rPr>
          <w:rStyle w:val="FootnoteReference"/>
          <w:sz w:val="20"/>
          <w:vertAlign w:val="baseline"/>
        </w:rPr>
        <w:t>*</w:t>
      </w:r>
      <w:r>
        <w:rPr>
          <w:rStyle w:val="FootnoteReference"/>
          <w:sz w:val="20"/>
          <w:vertAlign w:val="baseline"/>
        </w:rPr>
        <w:tab/>
      </w:r>
      <w:r w:rsidRPr="00315E13">
        <w:t xml:space="preserve">Aprobado por el Comité en su </w:t>
      </w:r>
      <w:r>
        <w:t>83</w:t>
      </w:r>
      <w:r w:rsidRPr="00AC0BD3">
        <w:rPr>
          <w:vertAlign w:val="superscript"/>
        </w:rPr>
        <w:t>er</w:t>
      </w:r>
      <w:r w:rsidRPr="00315E13">
        <w:t xml:space="preserve"> período de sesiones (</w:t>
      </w:r>
      <w:r>
        <w:t>20 de enero a 7</w:t>
      </w:r>
      <w:r w:rsidRPr="00315E13">
        <w:t xml:space="preserve"> de </w:t>
      </w:r>
      <w:r>
        <w:t>febrero</w:t>
      </w:r>
      <w:r w:rsidRPr="00315E13">
        <w:t xml:space="preserve"> </w:t>
      </w:r>
      <w:r>
        <w:t>de 2020</w:t>
      </w:r>
      <w:r w:rsidRPr="00315E13">
        <w:t>).</w:t>
      </w:r>
    </w:p>
  </w:footnote>
  <w:footnote w:id="2">
    <w:p w14:paraId="6D4402A5" w14:textId="1A259A07" w:rsidR="00921794" w:rsidRPr="00E64199" w:rsidRDefault="00921794" w:rsidP="00AC0BD3">
      <w:pPr>
        <w:pStyle w:val="FootnoteText"/>
        <w:jc w:val="both"/>
      </w:pPr>
      <w:r>
        <w:rPr>
          <w:rStyle w:val="FootnoteReference"/>
        </w:rPr>
        <w:tab/>
      </w:r>
      <w:r w:rsidRPr="00AC0BD3">
        <w:rPr>
          <w:rStyle w:val="FootnoteReference"/>
          <w:sz w:val="20"/>
          <w:vertAlign w:val="baseline"/>
        </w:rPr>
        <w:t>**</w:t>
      </w:r>
      <w:r>
        <w:rPr>
          <w:rStyle w:val="FootnoteReference"/>
          <w:sz w:val="20"/>
          <w:vertAlign w:val="baseline"/>
        </w:rPr>
        <w:tab/>
      </w:r>
      <w:r w:rsidRPr="00315E13">
        <w:rPr>
          <w:lang w:val="es-ES_tradnl"/>
        </w:rPr>
        <w:t>Participaron en el examen de la comunicación los siguientes miembros del Comité:</w:t>
      </w:r>
      <w:r w:rsidRPr="00887D04">
        <w:t xml:space="preserve"> </w:t>
      </w:r>
      <w:r w:rsidRPr="00131DB3">
        <w:t>Suzanne Aho Assouma, Amal Salman Aldoseri, Hynd Ayoubi Idrissi, Bragi Gudbrandsson, Philip Jaff</w:t>
      </w:r>
      <w:r>
        <w:t>é</w:t>
      </w:r>
      <w:r w:rsidRPr="00131DB3">
        <w:t xml:space="preserve">, Olga A. Khazova, Cephas Lumina, Gehad Madi, Faith Marshall-Harris, Benyam Dawit Mezmur, </w:t>
      </w:r>
      <w:r>
        <w:t xml:space="preserve">Clarence Nelson, </w:t>
      </w:r>
      <w:r w:rsidRPr="00131DB3">
        <w:t>Otani</w:t>
      </w:r>
      <w:r>
        <w:t xml:space="preserve"> </w:t>
      </w:r>
      <w:r w:rsidRPr="00131DB3">
        <w:t>Mikiko, Luis Ernesto Pedernera Reyna, José Ángel Rodríguez Reyes, A</w:t>
      </w:r>
      <w:r>
        <w:t>ï</w:t>
      </w:r>
      <w:r w:rsidRPr="00131DB3">
        <w:t xml:space="preserve">ssatou Alassane </w:t>
      </w:r>
      <w:r>
        <w:t xml:space="preserve">Moulaye </w:t>
      </w:r>
      <w:r w:rsidRPr="00131DB3">
        <w:t>Sidikou, Ann Marie Skelton, Velina Todorova y Renate Winter</w:t>
      </w:r>
      <w:r>
        <w:t>.</w:t>
      </w:r>
    </w:p>
  </w:footnote>
  <w:footnote w:id="3">
    <w:p w14:paraId="1C990590" w14:textId="2F92B83D" w:rsidR="00921794" w:rsidRPr="00476221" w:rsidRDefault="00921794" w:rsidP="006B078D">
      <w:pPr>
        <w:pStyle w:val="FootnoteText"/>
        <w:widowControl w:val="0"/>
        <w:tabs>
          <w:tab w:val="clear" w:pos="1021"/>
          <w:tab w:val="right" w:pos="1020"/>
        </w:tabs>
        <w:suppressAutoHyphens/>
      </w:pPr>
      <w:r>
        <w:tab/>
      </w:r>
      <w:r w:rsidRPr="008A2BE1">
        <w:rPr>
          <w:rStyle w:val="FootnoteReference"/>
          <w:szCs w:val="18"/>
        </w:rPr>
        <w:footnoteRef/>
      </w:r>
      <w:r>
        <w:tab/>
      </w:r>
      <w:r w:rsidRPr="006F20C7">
        <w:t xml:space="preserve">El </w:t>
      </w:r>
      <w:r>
        <w:t xml:space="preserve">autor </w:t>
      </w:r>
      <w:r w:rsidRPr="006F20C7">
        <w:t>aporta copia de</w:t>
      </w:r>
      <w:r>
        <w:t xml:space="preserve"> la demanda presentada ante </w:t>
      </w:r>
      <w:r w:rsidRPr="006F20C7">
        <w:t xml:space="preserve">el Juzgado de la Niñez y la Adolescencia </w:t>
      </w:r>
      <w:r>
        <w:t xml:space="preserve">de Asunción, </w:t>
      </w:r>
      <w:r w:rsidRPr="006F20C7">
        <w:t xml:space="preserve">de </w:t>
      </w:r>
      <w:r>
        <w:t>16 de febrero</w:t>
      </w:r>
      <w:r w:rsidRPr="006F20C7">
        <w:t xml:space="preserve"> de 2015.</w:t>
      </w:r>
      <w:r>
        <w:t xml:space="preserve"> </w:t>
      </w:r>
    </w:p>
  </w:footnote>
  <w:footnote w:id="4">
    <w:p w14:paraId="39BEB85A" w14:textId="28FF58BA" w:rsidR="00921794" w:rsidRPr="006F20C7" w:rsidRDefault="00921794">
      <w:pPr>
        <w:pStyle w:val="FootnoteText"/>
      </w:pPr>
      <w:r>
        <w:tab/>
      </w:r>
      <w:r w:rsidRPr="008A2BE1">
        <w:rPr>
          <w:rStyle w:val="FootnoteReference"/>
          <w:szCs w:val="18"/>
        </w:rPr>
        <w:footnoteRef/>
      </w:r>
      <w:r>
        <w:tab/>
        <w:t xml:space="preserve">El </w:t>
      </w:r>
      <w:r w:rsidRPr="006F20C7">
        <w:t xml:space="preserve">autor aporta copia de la </w:t>
      </w:r>
      <w:r>
        <w:t xml:space="preserve">sentencia SD 139 del </w:t>
      </w:r>
      <w:r w:rsidRPr="006F20C7">
        <w:t xml:space="preserve">Juzgado de la Niñez y la Adolescencia de Asunción, de </w:t>
      </w:r>
      <w:r>
        <w:t>30 de abril</w:t>
      </w:r>
      <w:r w:rsidRPr="006F20C7">
        <w:t xml:space="preserve"> de 2015</w:t>
      </w:r>
      <w:r>
        <w:t>.</w:t>
      </w:r>
    </w:p>
  </w:footnote>
  <w:footnote w:id="5">
    <w:p w14:paraId="64B31D39" w14:textId="7914BA67" w:rsidR="00921794" w:rsidRPr="006843B9" w:rsidRDefault="00921794">
      <w:pPr>
        <w:pStyle w:val="FootnoteText"/>
      </w:pPr>
      <w:r>
        <w:tab/>
      </w:r>
      <w:r w:rsidRPr="008A2BE1">
        <w:rPr>
          <w:rStyle w:val="FootnoteReference"/>
          <w:szCs w:val="18"/>
        </w:rPr>
        <w:footnoteRef/>
      </w:r>
      <w:r>
        <w:tab/>
      </w:r>
      <w:r w:rsidRPr="006843B9">
        <w:t xml:space="preserve">Código de la Niñez y la Adolescencia, Ley 1680/01. </w:t>
      </w:r>
      <w:r>
        <w:t>“</w:t>
      </w:r>
      <w:r w:rsidRPr="006843B9">
        <w:t>Artículo 96</w:t>
      </w:r>
      <w:r>
        <w:t>.</w:t>
      </w:r>
      <w:r w:rsidRPr="006843B9">
        <w:t xml:space="preserve"> Del </w:t>
      </w:r>
      <w:r>
        <w:t>i</w:t>
      </w:r>
      <w:r w:rsidRPr="006843B9">
        <w:t>ncumplimiento del régimen de relacionamiento</w:t>
      </w:r>
      <w:r>
        <w:t>.</w:t>
      </w:r>
      <w:r w:rsidRPr="006843B9">
        <w:t xml:space="preserve"> El incumplimiento reiterado del relacionamiento establecido judicialmente, podrá originar la variación o cesación temporal del régimen de convivencia</w:t>
      </w:r>
      <w:r>
        <w:t>”</w:t>
      </w:r>
      <w:r w:rsidRPr="006843B9">
        <w:t>.</w:t>
      </w:r>
    </w:p>
  </w:footnote>
  <w:footnote w:id="6">
    <w:p w14:paraId="46750D51" w14:textId="39E8308C" w:rsidR="00921794" w:rsidRPr="00DD0E30" w:rsidRDefault="00921794" w:rsidP="00002245">
      <w:pPr>
        <w:pStyle w:val="FootnoteText"/>
      </w:pPr>
      <w:r>
        <w:tab/>
      </w:r>
      <w:r w:rsidRPr="008A2BE1">
        <w:rPr>
          <w:rStyle w:val="FootnoteReference"/>
          <w:szCs w:val="18"/>
        </w:rPr>
        <w:footnoteRef/>
      </w:r>
      <w:r>
        <w:tab/>
      </w:r>
      <w:r>
        <w:tab/>
      </w:r>
      <w:r w:rsidRPr="00A21D1D">
        <w:t xml:space="preserve">Ley 4711, </w:t>
      </w:r>
      <w:r>
        <w:t>q</w:t>
      </w:r>
      <w:r w:rsidRPr="00A21D1D">
        <w:t xml:space="preserve">ue </w:t>
      </w:r>
      <w:r>
        <w:t>s</w:t>
      </w:r>
      <w:r w:rsidRPr="00A21D1D">
        <w:t xml:space="preserve">anciona el </w:t>
      </w:r>
      <w:r>
        <w:t>desacato de una orden judicial, promulgada el 13 de diciembre de 2012.</w:t>
      </w:r>
    </w:p>
  </w:footnote>
  <w:footnote w:id="7">
    <w:p w14:paraId="138CAEB3" w14:textId="031E7BC5" w:rsidR="00921794" w:rsidRPr="00476221" w:rsidRDefault="00921794" w:rsidP="00633247">
      <w:pPr>
        <w:pStyle w:val="FootnoteText"/>
        <w:widowControl w:val="0"/>
        <w:tabs>
          <w:tab w:val="clear" w:pos="1021"/>
          <w:tab w:val="right" w:pos="1020"/>
        </w:tabs>
        <w:suppressAutoHyphens/>
      </w:pPr>
      <w:r>
        <w:tab/>
      </w:r>
      <w:r w:rsidRPr="008A2BE1">
        <w:rPr>
          <w:rStyle w:val="FootnoteReference"/>
          <w:szCs w:val="18"/>
        </w:rPr>
        <w:footnoteRef/>
      </w:r>
      <w:r>
        <w:tab/>
      </w:r>
      <w:r w:rsidRPr="00D8539B">
        <w:t xml:space="preserve">El autor adjunta copia de la decisión del Tribunal de </w:t>
      </w:r>
      <w:r>
        <w:t>A</w:t>
      </w:r>
      <w:r w:rsidRPr="00D8539B">
        <w:t xml:space="preserve">pelación de la Niñez y la Adolescencia, sentencia </w:t>
      </w:r>
      <w:r>
        <w:t>núm.</w:t>
      </w:r>
      <w:r w:rsidRPr="00D8539B">
        <w:t xml:space="preserve"> 77, de 11 de agosto de 2016.</w:t>
      </w:r>
      <w:r>
        <w:t xml:space="preserve"> </w:t>
      </w:r>
    </w:p>
  </w:footnote>
  <w:footnote w:id="8">
    <w:p w14:paraId="1716CD71" w14:textId="17B1C9FD" w:rsidR="00921794" w:rsidRPr="001B3668" w:rsidRDefault="00921794" w:rsidP="005C6FD7">
      <w:pPr>
        <w:pStyle w:val="FootnoteText"/>
        <w:jc w:val="both"/>
      </w:pPr>
      <w:r w:rsidRPr="00D8539B">
        <w:tab/>
      </w:r>
      <w:r w:rsidRPr="008A2BE1">
        <w:rPr>
          <w:rStyle w:val="FootnoteReference"/>
          <w:szCs w:val="18"/>
        </w:rPr>
        <w:footnoteRef/>
      </w:r>
      <w:r>
        <w:tab/>
      </w:r>
      <w:r w:rsidRPr="00D8539B">
        <w:t>Código de Organización Judicial</w:t>
      </w:r>
      <w:r>
        <w:t xml:space="preserve">, promulgado el 10 de diciembre de 2001. “Artículo 236. </w:t>
      </w:r>
      <w:r w:rsidRPr="00D8539B">
        <w:t xml:space="preserve">Los </w:t>
      </w:r>
      <w:r>
        <w:t>t</w:t>
      </w:r>
      <w:r w:rsidRPr="00D8539B">
        <w:t xml:space="preserve">ribunales y </w:t>
      </w:r>
      <w:r>
        <w:t>j</w:t>
      </w:r>
      <w:r w:rsidRPr="00D8539B">
        <w:t xml:space="preserve">uzgados podrán sancionar con apercibimiento, multas o arrestos las faltas de los litigantes, sus abogados o procuradores u otras personas </w:t>
      </w:r>
      <w:r>
        <w:t xml:space="preserve">[cometidas] </w:t>
      </w:r>
      <w:r w:rsidRPr="00D8539B">
        <w:t>contra su autoridad o decoro en las audiencias, en los escritos, en el diligenciamiento de sus mandatos u órdenes, o en cualquier otra circunstancia con motivo del ejercicio de sus funciones</w:t>
      </w:r>
      <w:r>
        <w:t>”</w:t>
      </w:r>
      <w:r w:rsidRPr="00D8539B">
        <w:t>.</w:t>
      </w:r>
      <w:r w:rsidRPr="001B3668">
        <w:t xml:space="preserve"> </w:t>
      </w:r>
    </w:p>
  </w:footnote>
  <w:footnote w:id="9">
    <w:p w14:paraId="60D4154E" w14:textId="416BD341" w:rsidR="00921794" w:rsidRPr="00476221" w:rsidRDefault="00921794" w:rsidP="00633247">
      <w:pPr>
        <w:pStyle w:val="FootnoteText"/>
        <w:widowControl w:val="0"/>
        <w:tabs>
          <w:tab w:val="clear" w:pos="1021"/>
          <w:tab w:val="right" w:pos="1020"/>
        </w:tabs>
        <w:suppressAutoHyphens/>
      </w:pPr>
      <w:r>
        <w:tab/>
      </w:r>
      <w:r w:rsidRPr="008A2BE1">
        <w:rPr>
          <w:rStyle w:val="FootnoteReference"/>
          <w:szCs w:val="18"/>
        </w:rPr>
        <w:footnoteRef/>
      </w:r>
      <w:r>
        <w:tab/>
      </w:r>
      <w:r w:rsidRPr="001B3668">
        <w:t xml:space="preserve">El autor aporta copias de las quejas presentadas por retardo de justicia ante el </w:t>
      </w:r>
      <w:r>
        <w:t xml:space="preserve">Juzgado </w:t>
      </w:r>
      <w:r w:rsidRPr="001B3668">
        <w:t xml:space="preserve">de la Niñez y la Adolescencia </w:t>
      </w:r>
      <w:r>
        <w:t xml:space="preserve">los días </w:t>
      </w:r>
      <w:r w:rsidRPr="001B3668">
        <w:t>29 de abril de 2015 y 14 de diciembre de 2015.</w:t>
      </w:r>
      <w:r>
        <w:t xml:space="preserve"> </w:t>
      </w:r>
    </w:p>
  </w:footnote>
  <w:footnote w:id="10">
    <w:p w14:paraId="43424673" w14:textId="32777673" w:rsidR="00921794" w:rsidRPr="00476221" w:rsidRDefault="00921794" w:rsidP="00633247">
      <w:pPr>
        <w:pStyle w:val="FootnoteText"/>
        <w:widowControl w:val="0"/>
        <w:tabs>
          <w:tab w:val="clear" w:pos="1021"/>
          <w:tab w:val="right" w:pos="1020"/>
        </w:tabs>
        <w:suppressAutoHyphens/>
      </w:pPr>
      <w:r>
        <w:tab/>
      </w:r>
      <w:r w:rsidRPr="008A2BE1">
        <w:rPr>
          <w:rStyle w:val="FootnoteReference"/>
          <w:szCs w:val="18"/>
        </w:rPr>
        <w:footnoteRef/>
      </w:r>
      <w:r>
        <w:tab/>
      </w:r>
      <w:r w:rsidRPr="001B3668">
        <w:t xml:space="preserve">El autor aporta copia de sus solicitudes de adopción de medidas cautelares ante el </w:t>
      </w:r>
      <w:r>
        <w:t xml:space="preserve">Juzgado </w:t>
      </w:r>
      <w:r w:rsidRPr="001B3668">
        <w:t xml:space="preserve">de la Niñez y la Adolescencia </w:t>
      </w:r>
      <w:r>
        <w:t xml:space="preserve">el </w:t>
      </w:r>
      <w:r w:rsidRPr="001B3668">
        <w:t>22 de abril de 2015</w:t>
      </w:r>
      <w:r>
        <w:t xml:space="preserve">. </w:t>
      </w:r>
    </w:p>
  </w:footnote>
  <w:footnote w:id="11">
    <w:p w14:paraId="625A3C68" w14:textId="5ED85E16" w:rsidR="00921794" w:rsidRPr="00476221" w:rsidRDefault="00921794" w:rsidP="00633247">
      <w:pPr>
        <w:pStyle w:val="FootnoteText"/>
        <w:widowControl w:val="0"/>
        <w:tabs>
          <w:tab w:val="clear" w:pos="1021"/>
          <w:tab w:val="right" w:pos="1020"/>
        </w:tabs>
        <w:suppressAutoHyphens/>
      </w:pPr>
      <w:r>
        <w:tab/>
      </w:r>
      <w:r w:rsidRPr="008A2BE1">
        <w:rPr>
          <w:rStyle w:val="FootnoteReference"/>
          <w:szCs w:val="18"/>
        </w:rPr>
        <w:footnoteRef/>
      </w:r>
      <w:r>
        <w:tab/>
      </w:r>
      <w:r w:rsidRPr="001B3668">
        <w:t xml:space="preserve">El autor aporta copia de las denuncias efectuadas ante el </w:t>
      </w:r>
      <w:r>
        <w:t xml:space="preserve">Juzgado </w:t>
      </w:r>
      <w:r w:rsidRPr="001B3668">
        <w:t xml:space="preserve">de la Niñez y la Adolescencia </w:t>
      </w:r>
      <w:r>
        <w:t xml:space="preserve">los días </w:t>
      </w:r>
      <w:r w:rsidRPr="001B3668">
        <w:t xml:space="preserve">8 de julio, 2 </w:t>
      </w:r>
      <w:r>
        <w:t xml:space="preserve">y </w:t>
      </w:r>
      <w:r w:rsidRPr="001B3668">
        <w:t xml:space="preserve">24 de agosto, 3 de noviembre, </w:t>
      </w:r>
      <w:r>
        <w:t xml:space="preserve">y </w:t>
      </w:r>
      <w:r w:rsidRPr="001B3668">
        <w:t xml:space="preserve">7 </w:t>
      </w:r>
      <w:r>
        <w:t>y</w:t>
      </w:r>
      <w:r w:rsidRPr="001B3668">
        <w:t xml:space="preserve"> 26 de diciembre de 2016.</w:t>
      </w:r>
      <w:r>
        <w:t xml:space="preserve"> </w:t>
      </w:r>
    </w:p>
  </w:footnote>
  <w:footnote w:id="12">
    <w:p w14:paraId="3ACC4549" w14:textId="2D9E544D" w:rsidR="00921794" w:rsidRPr="00476221" w:rsidRDefault="00921794" w:rsidP="00994E01">
      <w:pPr>
        <w:pStyle w:val="FootnoteText"/>
        <w:widowControl w:val="0"/>
        <w:tabs>
          <w:tab w:val="clear" w:pos="1021"/>
          <w:tab w:val="right" w:pos="1020"/>
        </w:tabs>
        <w:suppressAutoHyphens/>
      </w:pPr>
      <w:r>
        <w:tab/>
      </w:r>
      <w:r w:rsidRPr="008A2BE1">
        <w:rPr>
          <w:rStyle w:val="FootnoteReference"/>
          <w:szCs w:val="18"/>
        </w:rPr>
        <w:footnoteRef/>
      </w:r>
      <w:r>
        <w:tab/>
        <w:t xml:space="preserve">El autor adjunta copia del </w:t>
      </w:r>
      <w:r w:rsidRPr="00736D74">
        <w:t xml:space="preserve">auto interlocutorio </w:t>
      </w:r>
      <w:r>
        <w:t xml:space="preserve">AI 60 del </w:t>
      </w:r>
      <w:r w:rsidRPr="005524B5">
        <w:t>Tribunal de Apelación</w:t>
      </w:r>
      <w:r w:rsidRPr="00A83C3F">
        <w:t xml:space="preserve"> </w:t>
      </w:r>
      <w:r>
        <w:t xml:space="preserve">de </w:t>
      </w:r>
      <w:r w:rsidRPr="005524B5">
        <w:t>25 de abril de 2017</w:t>
      </w:r>
      <w:r>
        <w:t xml:space="preserve">. </w:t>
      </w:r>
    </w:p>
  </w:footnote>
  <w:footnote w:id="13">
    <w:p w14:paraId="70501B9B" w14:textId="25F31D71" w:rsidR="00921794" w:rsidRPr="00994E01" w:rsidRDefault="00921794" w:rsidP="00994E01">
      <w:pPr>
        <w:pStyle w:val="FootnoteText"/>
        <w:widowControl w:val="0"/>
        <w:tabs>
          <w:tab w:val="clear" w:pos="1021"/>
          <w:tab w:val="right" w:pos="1020"/>
        </w:tabs>
        <w:suppressAutoHyphens/>
      </w:pPr>
      <w:r>
        <w:tab/>
      </w:r>
      <w:r w:rsidRPr="008A2BE1">
        <w:rPr>
          <w:rStyle w:val="FootnoteReference"/>
          <w:szCs w:val="18"/>
        </w:rPr>
        <w:footnoteRef/>
      </w:r>
      <w:r>
        <w:tab/>
      </w:r>
      <w:r w:rsidRPr="00097C62">
        <w:t>El autor se refiere a</w:t>
      </w:r>
      <w:r w:rsidRPr="00AC0BD3">
        <w:t xml:space="preserve"> un fallo de la Cámara Nacional Civil, </w:t>
      </w:r>
      <w:r w:rsidRPr="00097C62">
        <w:t>Sala I</w:t>
      </w:r>
      <w:r w:rsidRPr="00AC0BD3">
        <w:t>,</w:t>
      </w:r>
      <w:r w:rsidRPr="00097C62">
        <w:t xml:space="preserve"> </w:t>
      </w:r>
      <w:r w:rsidRPr="00AC0BD3">
        <w:t xml:space="preserve">de </w:t>
      </w:r>
      <w:r w:rsidRPr="00097C62">
        <w:t>26</w:t>
      </w:r>
      <w:r w:rsidRPr="00AC0BD3">
        <w:t xml:space="preserve"> de diciembre de </w:t>
      </w:r>
      <w:r w:rsidRPr="00097C62">
        <w:t>1997, LL</w:t>
      </w:r>
      <w:r>
        <w:noBreakHyphen/>
      </w:r>
      <w:r w:rsidRPr="00097C62">
        <w:t>1998, D-144</w:t>
      </w:r>
      <w:r w:rsidRPr="00AC0BD3">
        <w:t>,</w:t>
      </w:r>
      <w:r w:rsidRPr="00097C62">
        <w:t xml:space="preserve"> </w:t>
      </w:r>
      <w:r w:rsidRPr="00AC0BD3">
        <w:t xml:space="preserve">mencionado </w:t>
      </w:r>
      <w:r w:rsidRPr="00097C62">
        <w:t xml:space="preserve">en Belluscio, Claudio, </w:t>
      </w:r>
      <w:r w:rsidRPr="00AC0BD3">
        <w:rPr>
          <w:i/>
          <w:iCs/>
        </w:rPr>
        <w:t xml:space="preserve">El derecho a visitar a los hijos: Tratado teórico y </w:t>
      </w:r>
      <w:r w:rsidRPr="00097C62">
        <w:rPr>
          <w:i/>
          <w:iCs/>
        </w:rPr>
        <w:t>práctico</w:t>
      </w:r>
      <w:r w:rsidRPr="00AC0BD3">
        <w:rPr>
          <w:iCs/>
        </w:rPr>
        <w:t>,</w:t>
      </w:r>
      <w:r w:rsidRPr="00097C62">
        <w:rPr>
          <w:i/>
          <w:iCs/>
        </w:rPr>
        <w:t xml:space="preserve"> </w:t>
      </w:r>
      <w:r w:rsidRPr="00097C62">
        <w:t>Ed. Tribunales, 2012.</w:t>
      </w:r>
      <w:r>
        <w:t xml:space="preserve"> </w:t>
      </w:r>
    </w:p>
  </w:footnote>
  <w:footnote w:id="14">
    <w:p w14:paraId="4C4007DD" w14:textId="18AC60B7" w:rsidR="00921794" w:rsidRPr="00476221" w:rsidRDefault="00921794" w:rsidP="00994E01">
      <w:pPr>
        <w:pStyle w:val="FootnoteText"/>
        <w:widowControl w:val="0"/>
        <w:tabs>
          <w:tab w:val="clear" w:pos="1021"/>
          <w:tab w:val="right" w:pos="1020"/>
        </w:tabs>
        <w:suppressAutoHyphens/>
      </w:pPr>
      <w:r>
        <w:tab/>
      </w:r>
      <w:r w:rsidRPr="008A2BE1">
        <w:rPr>
          <w:rStyle w:val="FootnoteReference"/>
          <w:szCs w:val="18"/>
        </w:rPr>
        <w:footnoteRef/>
      </w:r>
      <w:r>
        <w:tab/>
        <w:t xml:space="preserve">Demanda núm. </w:t>
      </w:r>
      <w:r w:rsidRPr="00DF640E">
        <w:t>53377/13</w:t>
      </w:r>
      <w:r>
        <w:t xml:space="preserve">, </w:t>
      </w:r>
      <w:r w:rsidRPr="00CE493B">
        <w:t>2</w:t>
      </w:r>
      <w:r>
        <w:t>3</w:t>
      </w:r>
      <w:r w:rsidRPr="00CE493B">
        <w:t xml:space="preserve"> de junio de 2016</w:t>
      </w:r>
      <w:r>
        <w:t xml:space="preserve">. </w:t>
      </w:r>
    </w:p>
  </w:footnote>
  <w:footnote w:id="15">
    <w:p w14:paraId="4F7A7B2E" w14:textId="4CE25680" w:rsidR="00921794" w:rsidRPr="00476221" w:rsidRDefault="00921794" w:rsidP="00994E01">
      <w:pPr>
        <w:pStyle w:val="FootnoteText"/>
        <w:widowControl w:val="0"/>
        <w:tabs>
          <w:tab w:val="clear" w:pos="1021"/>
          <w:tab w:val="right" w:pos="1020"/>
        </w:tabs>
        <w:suppressAutoHyphens/>
      </w:pPr>
      <w:r>
        <w:tab/>
      </w:r>
      <w:r w:rsidRPr="008A2BE1">
        <w:rPr>
          <w:rStyle w:val="FootnoteReference"/>
          <w:szCs w:val="18"/>
        </w:rPr>
        <w:footnoteRef/>
      </w:r>
      <w:r>
        <w:tab/>
        <w:t>Demanda núm. 4</w:t>
      </w:r>
      <w:r w:rsidRPr="00DF640E">
        <w:t>3299/12</w:t>
      </w:r>
      <w:r>
        <w:t>,</w:t>
      </w:r>
      <w:r w:rsidRPr="00DF640E">
        <w:t xml:space="preserve"> 15 de septiembre de 2016</w:t>
      </w:r>
      <w:r>
        <w:t xml:space="preserve">. </w:t>
      </w:r>
    </w:p>
  </w:footnote>
  <w:footnote w:id="16">
    <w:p w14:paraId="7B8C4896" w14:textId="0B8AE14E" w:rsidR="00921794" w:rsidRPr="00476221" w:rsidRDefault="00921794" w:rsidP="001472E0">
      <w:pPr>
        <w:pStyle w:val="FootnoteText"/>
        <w:widowControl w:val="0"/>
        <w:tabs>
          <w:tab w:val="clear" w:pos="1021"/>
          <w:tab w:val="right" w:pos="1020"/>
        </w:tabs>
        <w:suppressAutoHyphens/>
        <w:jc w:val="both"/>
      </w:pPr>
      <w:r>
        <w:tab/>
      </w:r>
      <w:r w:rsidRPr="008A2BE1">
        <w:rPr>
          <w:rStyle w:val="FootnoteReference"/>
          <w:szCs w:val="18"/>
        </w:rPr>
        <w:footnoteRef/>
      </w:r>
      <w:r>
        <w:tab/>
        <w:t xml:space="preserve">Código Procesal Civil del Paraguay (Ley núm. 1337/88). “Artículo 412. Requerimiento previo y deber de urgimiento. Cuando transcurrido el plazo legal para dictar resolución, el juez o el tribunal no lo hubiere hecho podrá ser requerido por cualquiera de los interesados en el proceso. […] Artículo 414. Pedido de informe. Presentada la queja, el superior recabará informe al inferior, quien deberá producirlo dentro del día siguiente, manifestando la causa que le impide dictar resolución”. </w:t>
      </w:r>
    </w:p>
  </w:footnote>
  <w:footnote w:id="17">
    <w:p w14:paraId="2F80E54A" w14:textId="6DB488E1" w:rsidR="00921794" w:rsidRPr="0032659D" w:rsidRDefault="00921794" w:rsidP="00D2058E">
      <w:pPr>
        <w:pStyle w:val="FootnoteText"/>
        <w:widowControl w:val="0"/>
        <w:tabs>
          <w:tab w:val="clear" w:pos="1021"/>
          <w:tab w:val="right" w:pos="1020"/>
        </w:tabs>
        <w:suppressAutoHyphens/>
      </w:pPr>
      <w:r>
        <w:tab/>
      </w:r>
      <w:r w:rsidRPr="008A2BE1">
        <w:rPr>
          <w:rStyle w:val="FootnoteReference"/>
          <w:szCs w:val="18"/>
        </w:rPr>
        <w:footnoteRef/>
      </w:r>
      <w:r>
        <w:tab/>
      </w:r>
      <w:r w:rsidRPr="0032659D">
        <w:t>El autor adjunta un listado de llamadas telefónicas dirigidas a la madre de su hija.</w:t>
      </w:r>
    </w:p>
  </w:footnote>
  <w:footnote w:id="18">
    <w:p w14:paraId="7EE919C7" w14:textId="70F2E4DC" w:rsidR="00921794" w:rsidRPr="00476221" w:rsidRDefault="00921794" w:rsidP="00D2058E">
      <w:pPr>
        <w:pStyle w:val="FootnoteText"/>
        <w:widowControl w:val="0"/>
        <w:tabs>
          <w:tab w:val="clear" w:pos="1021"/>
          <w:tab w:val="right" w:pos="1020"/>
        </w:tabs>
        <w:suppressAutoHyphens/>
      </w:pPr>
      <w:r>
        <w:tab/>
      </w:r>
      <w:r w:rsidRPr="008A2BE1">
        <w:rPr>
          <w:rStyle w:val="FootnoteReference"/>
          <w:szCs w:val="18"/>
        </w:rPr>
        <w:footnoteRef/>
      </w:r>
      <w:r>
        <w:tab/>
        <w:t>“</w:t>
      </w:r>
      <w:r w:rsidRPr="0032659D">
        <w:t>Artículo 179</w:t>
      </w:r>
      <w:r>
        <w:t xml:space="preserve">. </w:t>
      </w:r>
      <w:r w:rsidRPr="0032659D">
        <w:t xml:space="preserve">De la </w:t>
      </w:r>
      <w:r>
        <w:t>s</w:t>
      </w:r>
      <w:r w:rsidRPr="0032659D">
        <w:t>entencia</w:t>
      </w:r>
      <w:r>
        <w:t>.</w:t>
      </w:r>
      <w:r w:rsidRPr="0032659D">
        <w:t xml:space="preserve"> El </w:t>
      </w:r>
      <w:r>
        <w:t>j</w:t>
      </w:r>
      <w:r w:rsidRPr="0032659D">
        <w:t xml:space="preserve">uez fijará audiencia dentro de los seis días posteriores al </w:t>
      </w:r>
      <w:r>
        <w:t>l</w:t>
      </w:r>
      <w:r w:rsidRPr="0032659D">
        <w:t>lamamiento de autos, oportunidad en que dará lectura a su sentencia</w:t>
      </w:r>
      <w:r>
        <w:t>”</w:t>
      </w:r>
      <w:r w:rsidRPr="0032659D">
        <w:t>.</w:t>
      </w:r>
    </w:p>
  </w:footnote>
  <w:footnote w:id="19">
    <w:p w14:paraId="4F8ED596" w14:textId="631C8094" w:rsidR="00921794" w:rsidRPr="00CF0337" w:rsidRDefault="00921794" w:rsidP="0013614A">
      <w:pPr>
        <w:pStyle w:val="FootnoteText"/>
        <w:jc w:val="both"/>
      </w:pPr>
      <w:r w:rsidRPr="0032659D">
        <w:tab/>
      </w:r>
      <w:r w:rsidRPr="008A2BE1">
        <w:rPr>
          <w:rStyle w:val="FootnoteReference"/>
          <w:szCs w:val="18"/>
        </w:rPr>
        <w:footnoteRef/>
      </w:r>
      <w:r>
        <w:tab/>
        <w:t>“</w:t>
      </w:r>
      <w:r w:rsidRPr="0032659D">
        <w:t>Artículo 181</w:t>
      </w:r>
      <w:r>
        <w:t>.</w:t>
      </w:r>
      <w:r w:rsidRPr="00DB411A">
        <w:t xml:space="preserve"> </w:t>
      </w:r>
      <w:r w:rsidRPr="0032659D">
        <w:t xml:space="preserve">Del </w:t>
      </w:r>
      <w:r>
        <w:t>p</w:t>
      </w:r>
      <w:r w:rsidRPr="0032659D">
        <w:t xml:space="preserve">rocedimiento en </w:t>
      </w:r>
      <w:r>
        <w:t>s</w:t>
      </w:r>
      <w:r w:rsidRPr="0032659D">
        <w:t xml:space="preserve">egunda </w:t>
      </w:r>
      <w:r>
        <w:t>i</w:t>
      </w:r>
      <w:r w:rsidRPr="0032659D">
        <w:t>nstancia</w:t>
      </w:r>
      <w:r>
        <w:t>.</w:t>
      </w:r>
      <w:r w:rsidRPr="0032659D">
        <w:t xml:space="preserve"> Recibido el expediente, el Tribunal de Apelaciones de la Niñez y la Adolescencia correrá traslado a la otra parte del recurso de apelación interpuesto, por el plazo de tres días.</w:t>
      </w:r>
      <w:r>
        <w:t xml:space="preserve"> […] </w:t>
      </w:r>
      <w:r w:rsidRPr="0032659D">
        <w:t>Culminada la audiencia, el Tribunal llamará autos para resolver y dictará sentencia dentro del plazo de diez días</w:t>
      </w:r>
      <w:r>
        <w:t>”</w:t>
      </w:r>
      <w:r w:rsidRPr="0032659D">
        <w:t>.</w:t>
      </w:r>
    </w:p>
  </w:footnote>
  <w:footnote w:id="20">
    <w:p w14:paraId="0CF536B9" w14:textId="577D9B89" w:rsidR="00921794" w:rsidRPr="00476221" w:rsidRDefault="00921794" w:rsidP="00D2058E">
      <w:pPr>
        <w:pStyle w:val="FootnoteText"/>
        <w:widowControl w:val="0"/>
        <w:tabs>
          <w:tab w:val="clear" w:pos="1021"/>
          <w:tab w:val="right" w:pos="1020"/>
        </w:tabs>
        <w:suppressAutoHyphens/>
      </w:pPr>
      <w:r>
        <w:tab/>
      </w:r>
      <w:r w:rsidRPr="008A2BE1">
        <w:rPr>
          <w:rStyle w:val="FootnoteReference"/>
          <w:szCs w:val="18"/>
        </w:rPr>
        <w:footnoteRef/>
      </w:r>
      <w:r>
        <w:tab/>
        <w:t xml:space="preserve">El autor no especifica de qué recurso se trata, ni la fecha en la que fue interpuesto. </w:t>
      </w:r>
    </w:p>
  </w:footnote>
  <w:footnote w:id="21">
    <w:p w14:paraId="3641189F" w14:textId="261349DE" w:rsidR="00921794" w:rsidRPr="00476221" w:rsidRDefault="00921794" w:rsidP="00AD46BA">
      <w:pPr>
        <w:pStyle w:val="FootnoteText"/>
        <w:widowControl w:val="0"/>
        <w:tabs>
          <w:tab w:val="clear" w:pos="1021"/>
          <w:tab w:val="right" w:pos="1020"/>
        </w:tabs>
        <w:suppressAutoHyphens/>
      </w:pPr>
      <w:r>
        <w:tab/>
      </w:r>
      <w:r w:rsidRPr="008A2BE1">
        <w:rPr>
          <w:rStyle w:val="FootnoteReference"/>
          <w:szCs w:val="18"/>
        </w:rPr>
        <w:footnoteRef/>
      </w:r>
      <w:r>
        <w:tab/>
        <w:t>“</w:t>
      </w:r>
      <w:r w:rsidRPr="00E220B5">
        <w:t>Art</w:t>
      </w:r>
      <w:r>
        <w:t xml:space="preserve">ículo </w:t>
      </w:r>
      <w:r w:rsidRPr="00E220B5">
        <w:t xml:space="preserve">28. La Corte Suprema de Justicia conocerá: </w:t>
      </w:r>
      <w:r>
        <w:t xml:space="preserve">[…] 2. Entenderá por vía de apelación y nulidad: a) de las sentencias definitivas dictadas por el Tribunal de Cuentas y de las de los Tribunales de Apelación que modifiquen o revoquen las de Primera Instancia; conforme a las disposiciones de los Códigos Procesales y a las leyes respectivas; b) de las resoluciones originarias de los Tribunales de Apelación en lo Civil, Comercial y Criminal y de Cuentas; y c) de las sentencias de los Tribunales de Apelación que impongan pena de muerte o penitenciaría desde quince a treinta años, las que no causarán ejecutoria sin el pronunciamiento de la Corte Suprema de Justicia. Contra estas sentencias se entenderán siempre deducidos los recursos de apelación y nulidad aunque las partes las consientan”. </w:t>
      </w:r>
    </w:p>
  </w:footnote>
  <w:footnote w:id="22">
    <w:p w14:paraId="7A5A5530" w14:textId="69B16643" w:rsidR="00921794" w:rsidRPr="00970F1B" w:rsidRDefault="00921794" w:rsidP="00AD46BA">
      <w:pPr>
        <w:pStyle w:val="FootnoteText"/>
        <w:jc w:val="both"/>
      </w:pPr>
      <w:r>
        <w:tab/>
      </w:r>
      <w:r w:rsidRPr="008A2BE1">
        <w:rPr>
          <w:rStyle w:val="FootnoteReference"/>
          <w:szCs w:val="18"/>
        </w:rPr>
        <w:footnoteRef/>
      </w:r>
      <w:r>
        <w:tab/>
        <w:t>Promulgada el 23 de junio de 2005.</w:t>
      </w:r>
    </w:p>
  </w:footnote>
  <w:footnote w:id="23">
    <w:p w14:paraId="768312F0" w14:textId="0ACB6578" w:rsidR="00921794" w:rsidRPr="00875297" w:rsidRDefault="00921794" w:rsidP="00AD46BA">
      <w:pPr>
        <w:pStyle w:val="FootnoteText"/>
        <w:jc w:val="both"/>
      </w:pPr>
      <w:r>
        <w:tab/>
      </w:r>
      <w:r w:rsidRPr="008A2BE1">
        <w:rPr>
          <w:rStyle w:val="FootnoteReference"/>
          <w:szCs w:val="18"/>
        </w:rPr>
        <w:footnoteRef/>
      </w:r>
      <w:r>
        <w:tab/>
        <w:t>“</w:t>
      </w:r>
      <w:r w:rsidRPr="00A11467">
        <w:t>Artículo 40</w:t>
      </w:r>
      <w:r>
        <w:t xml:space="preserve">3. </w:t>
      </w:r>
      <w:r w:rsidRPr="00A11467">
        <w:t xml:space="preserve">Procedencia de la apelación ante la Corte. </w:t>
      </w:r>
      <w:r>
        <w:t xml:space="preserve">El recurso de apelación ante la Corte Suprema de Justicia se concederá contra la sentencia definitiva del Tribunal de Apelación que revoque o modifique la de primera instancia. En este último caso será materia de recurso solo lo que hubiere sido objeto de modificación y dentro del límite de lo modificado. Contra las sentencias recaídas en los procesos ejecutivos, posesorios y, en general, en aquellos que admiten un </w:t>
      </w:r>
      <w:r w:rsidRPr="00875297">
        <w:t>juicio posterior, no se da este recurso. Procederá también contra las resoluciones originarias del Tribunal de Apelación que causen gravamen irreparable o decidan incidente</w:t>
      </w:r>
      <w:r>
        <w:t>”</w:t>
      </w:r>
      <w:r w:rsidRPr="00875297">
        <w:t>.</w:t>
      </w:r>
    </w:p>
  </w:footnote>
  <w:footnote w:id="24">
    <w:p w14:paraId="7CF9CB25" w14:textId="3800634B" w:rsidR="00921794" w:rsidRPr="00875297" w:rsidRDefault="00921794" w:rsidP="00AD46BA">
      <w:pPr>
        <w:pStyle w:val="FootnoteText"/>
        <w:jc w:val="both"/>
      </w:pPr>
      <w:r>
        <w:tab/>
      </w:r>
      <w:r w:rsidRPr="008A2BE1">
        <w:rPr>
          <w:rStyle w:val="FootnoteReference"/>
          <w:szCs w:val="18"/>
        </w:rPr>
        <w:footnoteRef/>
      </w:r>
      <w:r>
        <w:tab/>
      </w:r>
      <w:r w:rsidRPr="00AC0BD3">
        <w:rPr>
          <w:i/>
          <w:iCs/>
        </w:rPr>
        <w:t>Asensi Martínez c. Paraguay</w:t>
      </w:r>
      <w:r w:rsidRPr="00875297">
        <w:t xml:space="preserve"> (CCPR/C/95/D/1407/2005), párr. 7.4</w:t>
      </w:r>
      <w:r>
        <w:t>.</w:t>
      </w:r>
    </w:p>
  </w:footnote>
  <w:footnote w:id="25">
    <w:p w14:paraId="15F34361" w14:textId="2E30B3FD" w:rsidR="00921794" w:rsidRPr="00875297" w:rsidRDefault="00921794">
      <w:pPr>
        <w:pStyle w:val="FootnoteText"/>
        <w:jc w:val="both"/>
      </w:pPr>
      <w:r>
        <w:tab/>
      </w:r>
      <w:r w:rsidRPr="008A2BE1">
        <w:rPr>
          <w:rStyle w:val="FootnoteReference"/>
          <w:szCs w:val="18"/>
        </w:rPr>
        <w:footnoteRef/>
      </w:r>
      <w:r>
        <w:tab/>
      </w:r>
      <w:r w:rsidRPr="00875297">
        <w:t xml:space="preserve">El autor se refiere a </w:t>
      </w:r>
      <w:r w:rsidRPr="00AC0BD3">
        <w:rPr>
          <w:i/>
          <w:iCs/>
        </w:rPr>
        <w:t>Muñoz Hermoza c. Perú</w:t>
      </w:r>
      <w:r>
        <w:t xml:space="preserve"> (CCPR/C/34/D/203/1986)</w:t>
      </w:r>
      <w:r w:rsidRPr="00875297">
        <w:t>, párr. 11.3</w:t>
      </w:r>
      <w:r>
        <w:t xml:space="preserve">; </w:t>
      </w:r>
      <w:r w:rsidRPr="00AC0BD3">
        <w:rPr>
          <w:i/>
          <w:iCs/>
        </w:rPr>
        <w:t>González del Río c. Perú</w:t>
      </w:r>
      <w:r>
        <w:t xml:space="preserve"> (</w:t>
      </w:r>
      <w:r w:rsidRPr="00AC0BD3">
        <w:t>CCPR/C/46/D/263/1987)</w:t>
      </w:r>
      <w:r w:rsidRPr="00875297">
        <w:t>, párr. 5.2</w:t>
      </w:r>
      <w:r>
        <w:t xml:space="preserve">; </w:t>
      </w:r>
      <w:r w:rsidRPr="00AC0BD3">
        <w:rPr>
          <w:i/>
          <w:iCs/>
        </w:rPr>
        <w:t>Fei c. Colombia</w:t>
      </w:r>
      <w:r>
        <w:t xml:space="preserve"> </w:t>
      </w:r>
      <w:r w:rsidRPr="00602FB5">
        <w:t xml:space="preserve">(CCPR/C/53/D/514/1992), </w:t>
      </w:r>
      <w:r w:rsidRPr="00875297">
        <w:t>párr. 8.4</w:t>
      </w:r>
      <w:r>
        <w:t>,</w:t>
      </w:r>
      <w:r w:rsidRPr="00875297">
        <w:t xml:space="preserve"> y </w:t>
      </w:r>
      <w:r w:rsidRPr="00AC0BD3">
        <w:rPr>
          <w:i/>
          <w:iCs/>
        </w:rPr>
        <w:t>Balaguer Santacana c. España</w:t>
      </w:r>
      <w:r>
        <w:t xml:space="preserve"> </w:t>
      </w:r>
      <w:r w:rsidRPr="00602FB5">
        <w:t>(</w:t>
      </w:r>
      <w:r w:rsidRPr="00AC0BD3">
        <w:t>CCPR/C/51/D/417/1990</w:t>
      </w:r>
      <w:r>
        <w:t>)</w:t>
      </w:r>
      <w:r w:rsidRPr="00875297">
        <w:t>, párr. 6.2.</w:t>
      </w:r>
    </w:p>
  </w:footnote>
  <w:footnote w:id="26">
    <w:p w14:paraId="2EE41931" w14:textId="77777777" w:rsidR="00921794" w:rsidRPr="00476221" w:rsidRDefault="00921794" w:rsidP="0039550C">
      <w:pPr>
        <w:pStyle w:val="FootnoteText"/>
        <w:widowControl w:val="0"/>
        <w:tabs>
          <w:tab w:val="clear" w:pos="1021"/>
          <w:tab w:val="right" w:pos="1020"/>
        </w:tabs>
        <w:suppressAutoHyphens/>
      </w:pPr>
      <w:r>
        <w:tab/>
      </w:r>
      <w:r w:rsidRPr="008A2BE1">
        <w:rPr>
          <w:rStyle w:val="FootnoteReference"/>
          <w:szCs w:val="18"/>
        </w:rPr>
        <w:footnoteRef/>
      </w:r>
      <w:r>
        <w:tab/>
        <w:t xml:space="preserve">El autor no proporciona más información con respecto a la fecha o las circunstancias en la que fue </w:t>
      </w:r>
      <w:r w:rsidRPr="0017773B">
        <w:t>apercibido por el incumplimiento del régimen de visita</w:t>
      </w:r>
      <w:r>
        <w:t xml:space="preserve">. </w:t>
      </w:r>
    </w:p>
  </w:footnote>
  <w:footnote w:id="27">
    <w:p w14:paraId="4C5135A6" w14:textId="36DE376F" w:rsidR="00921794" w:rsidRPr="00476221" w:rsidRDefault="00921794" w:rsidP="00A76873">
      <w:pPr>
        <w:pStyle w:val="FootnoteText"/>
        <w:widowControl w:val="0"/>
        <w:tabs>
          <w:tab w:val="clear" w:pos="1021"/>
          <w:tab w:val="right" w:pos="1020"/>
        </w:tabs>
        <w:suppressAutoHyphens/>
      </w:pPr>
      <w:r>
        <w:tab/>
      </w:r>
      <w:r w:rsidRPr="008A2BE1">
        <w:rPr>
          <w:rStyle w:val="FootnoteReference"/>
          <w:szCs w:val="18"/>
        </w:rPr>
        <w:footnoteRef/>
      </w:r>
      <w:r>
        <w:tab/>
        <w:t>El autor no proporciona más información al respecto.</w:t>
      </w:r>
    </w:p>
  </w:footnote>
  <w:footnote w:id="28">
    <w:p w14:paraId="628410B9" w14:textId="77777777" w:rsidR="00921794" w:rsidRPr="00476221" w:rsidRDefault="00921794" w:rsidP="00A76873">
      <w:pPr>
        <w:pStyle w:val="FootnoteText"/>
        <w:widowControl w:val="0"/>
        <w:tabs>
          <w:tab w:val="clear" w:pos="1021"/>
          <w:tab w:val="right" w:pos="1020"/>
        </w:tabs>
        <w:suppressAutoHyphens/>
      </w:pPr>
      <w:r>
        <w:tab/>
      </w:r>
      <w:r w:rsidRPr="008A2BE1">
        <w:rPr>
          <w:rStyle w:val="FootnoteReference"/>
          <w:szCs w:val="18"/>
        </w:rPr>
        <w:footnoteRef/>
      </w:r>
      <w:r>
        <w:tab/>
      </w:r>
      <w:r w:rsidRPr="00234D53">
        <w:t xml:space="preserve">El autor </w:t>
      </w:r>
      <w:r>
        <w:t>aporta una</w:t>
      </w:r>
      <w:r w:rsidRPr="00234D53">
        <w:t xml:space="preserve"> copia de</w:t>
      </w:r>
      <w:r>
        <w:t>l auto interlocutorio AI 1</w:t>
      </w:r>
      <w:r w:rsidRPr="00234D53">
        <w:t>07 del 30 de abril de 2019, dictad</w:t>
      </w:r>
      <w:r>
        <w:t>o</w:t>
      </w:r>
      <w:r w:rsidRPr="00234D53">
        <w:t xml:space="preserve"> por el Tribuna</w:t>
      </w:r>
      <w:r>
        <w:t>l</w:t>
      </w:r>
      <w:r w:rsidRPr="00234D53">
        <w:t xml:space="preserve"> de Apelación de la Niñez.</w:t>
      </w:r>
      <w:r>
        <w:t xml:space="preserve"> </w:t>
      </w:r>
    </w:p>
  </w:footnote>
  <w:footnote w:id="29">
    <w:p w14:paraId="77725133" w14:textId="25FC45D1" w:rsidR="00921794" w:rsidRPr="0043795B" w:rsidRDefault="00921794">
      <w:pPr>
        <w:pStyle w:val="FootnoteText"/>
      </w:pPr>
      <w:r>
        <w:tab/>
      </w:r>
      <w:r w:rsidRPr="008A2BE1">
        <w:rPr>
          <w:rStyle w:val="FootnoteReference"/>
          <w:szCs w:val="18"/>
        </w:rPr>
        <w:footnoteRef/>
      </w:r>
      <w:r>
        <w:tab/>
        <w:t>Observación general núm. 14 (2013) sobre el derecho del niño a que su interés superior sea una consideración primordial, párr. 70.</w:t>
      </w:r>
    </w:p>
  </w:footnote>
  <w:footnote w:id="30">
    <w:p w14:paraId="77A21B8B" w14:textId="60B04977" w:rsidR="00921794" w:rsidRPr="00F61622" w:rsidRDefault="00921794" w:rsidP="00AB3C79">
      <w:pPr>
        <w:pStyle w:val="FootnoteText"/>
      </w:pPr>
      <w:r>
        <w:rPr>
          <w:i/>
        </w:rPr>
        <w:tab/>
      </w:r>
      <w:r w:rsidRPr="008A2BE1">
        <w:rPr>
          <w:rStyle w:val="FootnoteReference"/>
          <w:szCs w:val="18"/>
        </w:rPr>
        <w:footnoteRef/>
      </w:r>
      <w:r>
        <w:rPr>
          <w:i/>
        </w:rPr>
        <w:tab/>
      </w:r>
      <w:r w:rsidRPr="000429C1">
        <w:rPr>
          <w:i/>
        </w:rPr>
        <w:t xml:space="preserve">L.H.L. y A.H.L. </w:t>
      </w:r>
      <w:r>
        <w:rPr>
          <w:i/>
        </w:rPr>
        <w:t>c. España</w:t>
      </w:r>
      <w:r w:rsidRPr="00F61622">
        <w:t xml:space="preserve"> (CRC/C/81/D/13/2017), p</w:t>
      </w:r>
      <w:r>
        <w:t>á</w:t>
      </w:r>
      <w:r w:rsidRPr="00F61622">
        <w:t>r</w:t>
      </w:r>
      <w:r>
        <w:t>r</w:t>
      </w:r>
      <w:r w:rsidRPr="00F61622">
        <w:t>. 9.5.</w:t>
      </w:r>
    </w:p>
  </w:footnote>
  <w:footnote w:id="31">
    <w:p w14:paraId="210793D1" w14:textId="0FFDBD8B" w:rsidR="00921794" w:rsidRPr="00DD4ED8" w:rsidRDefault="00921794">
      <w:pPr>
        <w:pStyle w:val="FootnoteText"/>
      </w:pPr>
      <w:r>
        <w:rPr>
          <w:i/>
        </w:rPr>
        <w:tab/>
      </w:r>
      <w:r w:rsidRPr="008A2BE1">
        <w:rPr>
          <w:rStyle w:val="FootnoteReference"/>
          <w:szCs w:val="18"/>
        </w:rPr>
        <w:footnoteRef/>
      </w:r>
      <w:r>
        <w:rPr>
          <w:i/>
        </w:rPr>
        <w:tab/>
      </w:r>
      <w:r w:rsidRPr="00E37635">
        <w:rPr>
          <w:i/>
        </w:rPr>
        <w:t xml:space="preserve">Asensi </w:t>
      </w:r>
      <w:r>
        <w:rPr>
          <w:i/>
        </w:rPr>
        <w:t>Martínez c</w:t>
      </w:r>
      <w:r w:rsidRPr="00E37635">
        <w:rPr>
          <w:i/>
        </w:rPr>
        <w:t>. Paraguay</w:t>
      </w:r>
      <w:r w:rsidRPr="00DD4ED8">
        <w:t xml:space="preserve"> (CCPR/C/95/D/1407/2005), p</w:t>
      </w:r>
      <w:r>
        <w:t>árr</w:t>
      </w:r>
      <w:r w:rsidRPr="00DD4ED8">
        <w:t>. 7.4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A9D39" w14:textId="21571F9E" w:rsidR="00921794" w:rsidRPr="009B5B34" w:rsidRDefault="00921794" w:rsidP="009B5B34">
    <w:pPr>
      <w:pStyle w:val="Header"/>
    </w:pPr>
    <w:r w:rsidRPr="009B5B34">
      <w:t>CRC</w:t>
    </w:r>
    <w:r w:rsidRPr="005F55D0">
      <w:t>/C/</w:t>
    </w:r>
    <w:r>
      <w:t>83</w:t>
    </w:r>
    <w:r w:rsidRPr="005F55D0">
      <w:t>/D/</w:t>
    </w:r>
    <w:r>
      <w:t>30</w:t>
    </w:r>
    <w:r w:rsidRPr="005F55D0">
      <w:t>/2017</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AD061" w14:textId="2664A78C" w:rsidR="00921794" w:rsidRPr="00635E6F" w:rsidRDefault="00921794" w:rsidP="00635E6F">
    <w:pPr>
      <w:pStyle w:val="Header"/>
      <w:jc w:val="right"/>
    </w:pPr>
    <w:r w:rsidRPr="00635E6F">
      <w:t>CRC/C/8</w:t>
    </w:r>
    <w:r>
      <w:t>3</w:t>
    </w:r>
    <w:r w:rsidRPr="00635E6F">
      <w:t>/D/</w:t>
    </w:r>
    <w:r>
      <w:t>30</w:t>
    </w:r>
    <w:r w:rsidRPr="00635E6F">
      <w:t>/2017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E67E1" w14:textId="77777777" w:rsidR="001B36A7" w:rsidRDefault="001B3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DA06B0A"/>
    <w:multiLevelType w:val="hybridMultilevel"/>
    <w:tmpl w:val="D10E8382"/>
    <w:lvl w:ilvl="0" w:tplc="E224088A">
      <w:start w:val="3"/>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C92C19"/>
    <w:multiLevelType w:val="hybridMultilevel"/>
    <w:tmpl w:val="74822892"/>
    <w:lvl w:ilvl="0" w:tplc="0809000F">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2"/>
  </w:num>
  <w:num w:numId="3">
    <w:abstractNumId w:val="17"/>
  </w:num>
  <w:num w:numId="4">
    <w:abstractNumId w:val="16"/>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1"/>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activeWritingStyle w:appName="MSWord" w:lang="fr-CH"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AR" w:vendorID="64" w:dllVersion="6" w:nlCheck="1" w:checkStyle="0"/>
  <w:activeWritingStyle w:appName="MSWord" w:lang="es-419" w:vendorID="64" w:dllVersion="6" w:nlCheck="1" w:checkStyle="0"/>
  <w:activeWritingStyle w:appName="MSWord" w:lang="en-GB"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n-US" w:vendorID="64" w:dllVersion="4096"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664"/>
    <w:rsid w:val="0000130E"/>
    <w:rsid w:val="00001329"/>
    <w:rsid w:val="00001C24"/>
    <w:rsid w:val="00002131"/>
    <w:rsid w:val="00002245"/>
    <w:rsid w:val="00004594"/>
    <w:rsid w:val="000060C3"/>
    <w:rsid w:val="0000751C"/>
    <w:rsid w:val="00007842"/>
    <w:rsid w:val="00007A22"/>
    <w:rsid w:val="000101E0"/>
    <w:rsid w:val="0001044D"/>
    <w:rsid w:val="00012A16"/>
    <w:rsid w:val="00012B98"/>
    <w:rsid w:val="000210E0"/>
    <w:rsid w:val="000215B4"/>
    <w:rsid w:val="00021F44"/>
    <w:rsid w:val="000264B8"/>
    <w:rsid w:val="00031747"/>
    <w:rsid w:val="000320DF"/>
    <w:rsid w:val="00033EE1"/>
    <w:rsid w:val="00034119"/>
    <w:rsid w:val="00036626"/>
    <w:rsid w:val="0003690E"/>
    <w:rsid w:val="0003698E"/>
    <w:rsid w:val="000370D1"/>
    <w:rsid w:val="00037B2A"/>
    <w:rsid w:val="00040A8A"/>
    <w:rsid w:val="00041245"/>
    <w:rsid w:val="000415B9"/>
    <w:rsid w:val="00042ECA"/>
    <w:rsid w:val="0004488F"/>
    <w:rsid w:val="00045ECD"/>
    <w:rsid w:val="00045F21"/>
    <w:rsid w:val="00047CEA"/>
    <w:rsid w:val="00051054"/>
    <w:rsid w:val="0005115A"/>
    <w:rsid w:val="00052B7A"/>
    <w:rsid w:val="00052E7B"/>
    <w:rsid w:val="0005321C"/>
    <w:rsid w:val="00053C1B"/>
    <w:rsid w:val="000562CB"/>
    <w:rsid w:val="00056C50"/>
    <w:rsid w:val="000600F9"/>
    <w:rsid w:val="000623DF"/>
    <w:rsid w:val="00062DD7"/>
    <w:rsid w:val="00065CEB"/>
    <w:rsid w:val="00066068"/>
    <w:rsid w:val="00066179"/>
    <w:rsid w:val="00070F91"/>
    <w:rsid w:val="00074301"/>
    <w:rsid w:val="000746DB"/>
    <w:rsid w:val="00076887"/>
    <w:rsid w:val="0007695C"/>
    <w:rsid w:val="00080031"/>
    <w:rsid w:val="0008126C"/>
    <w:rsid w:val="000825C7"/>
    <w:rsid w:val="00084C7E"/>
    <w:rsid w:val="00084D11"/>
    <w:rsid w:val="0008512E"/>
    <w:rsid w:val="0008526C"/>
    <w:rsid w:val="000859EF"/>
    <w:rsid w:val="00085FB6"/>
    <w:rsid w:val="00086227"/>
    <w:rsid w:val="000875AC"/>
    <w:rsid w:val="00090133"/>
    <w:rsid w:val="000901C4"/>
    <w:rsid w:val="00091BFE"/>
    <w:rsid w:val="00091C35"/>
    <w:rsid w:val="00096588"/>
    <w:rsid w:val="00097C62"/>
    <w:rsid w:val="00097D87"/>
    <w:rsid w:val="000A0511"/>
    <w:rsid w:val="000A0A77"/>
    <w:rsid w:val="000A22E6"/>
    <w:rsid w:val="000A2FD6"/>
    <w:rsid w:val="000A3458"/>
    <w:rsid w:val="000A44F8"/>
    <w:rsid w:val="000A5288"/>
    <w:rsid w:val="000A5B3B"/>
    <w:rsid w:val="000A6A87"/>
    <w:rsid w:val="000A6C52"/>
    <w:rsid w:val="000A6FBB"/>
    <w:rsid w:val="000A78B9"/>
    <w:rsid w:val="000A7BB5"/>
    <w:rsid w:val="000A7EE3"/>
    <w:rsid w:val="000B093E"/>
    <w:rsid w:val="000B1693"/>
    <w:rsid w:val="000B2C02"/>
    <w:rsid w:val="000B2C48"/>
    <w:rsid w:val="000B438F"/>
    <w:rsid w:val="000B45AA"/>
    <w:rsid w:val="000B4B13"/>
    <w:rsid w:val="000B543C"/>
    <w:rsid w:val="000B57E7"/>
    <w:rsid w:val="000B607C"/>
    <w:rsid w:val="000B7665"/>
    <w:rsid w:val="000C0BF9"/>
    <w:rsid w:val="000C179E"/>
    <w:rsid w:val="000C227E"/>
    <w:rsid w:val="000C28E5"/>
    <w:rsid w:val="000C2A57"/>
    <w:rsid w:val="000C2DCA"/>
    <w:rsid w:val="000C3D65"/>
    <w:rsid w:val="000C4315"/>
    <w:rsid w:val="000C505E"/>
    <w:rsid w:val="000C676E"/>
    <w:rsid w:val="000C7244"/>
    <w:rsid w:val="000C748C"/>
    <w:rsid w:val="000C7778"/>
    <w:rsid w:val="000C7A03"/>
    <w:rsid w:val="000D2CEE"/>
    <w:rsid w:val="000D3D93"/>
    <w:rsid w:val="000D3F98"/>
    <w:rsid w:val="000D460D"/>
    <w:rsid w:val="000D551C"/>
    <w:rsid w:val="000E1AB9"/>
    <w:rsid w:val="000E2E47"/>
    <w:rsid w:val="000E4AC1"/>
    <w:rsid w:val="000E5054"/>
    <w:rsid w:val="000E52D4"/>
    <w:rsid w:val="000E599C"/>
    <w:rsid w:val="000E5F72"/>
    <w:rsid w:val="000E6558"/>
    <w:rsid w:val="000F022C"/>
    <w:rsid w:val="000F09DF"/>
    <w:rsid w:val="000F3370"/>
    <w:rsid w:val="000F61B2"/>
    <w:rsid w:val="00100155"/>
    <w:rsid w:val="00100922"/>
    <w:rsid w:val="00100D51"/>
    <w:rsid w:val="0010171E"/>
    <w:rsid w:val="0010189E"/>
    <w:rsid w:val="00102C49"/>
    <w:rsid w:val="00103AC9"/>
    <w:rsid w:val="00104CBC"/>
    <w:rsid w:val="001064A2"/>
    <w:rsid w:val="00106AA7"/>
    <w:rsid w:val="001075E9"/>
    <w:rsid w:val="001076B8"/>
    <w:rsid w:val="0011019B"/>
    <w:rsid w:val="00111470"/>
    <w:rsid w:val="00111A09"/>
    <w:rsid w:val="00113802"/>
    <w:rsid w:val="0011417E"/>
    <w:rsid w:val="001143A0"/>
    <w:rsid w:val="00114C0B"/>
    <w:rsid w:val="001153AA"/>
    <w:rsid w:val="00117280"/>
    <w:rsid w:val="00117C0A"/>
    <w:rsid w:val="00120FE2"/>
    <w:rsid w:val="0012177E"/>
    <w:rsid w:val="00121AB0"/>
    <w:rsid w:val="001220F5"/>
    <w:rsid w:val="00122A2C"/>
    <w:rsid w:val="00123F57"/>
    <w:rsid w:val="001253DE"/>
    <w:rsid w:val="001256EA"/>
    <w:rsid w:val="001308C6"/>
    <w:rsid w:val="00130F35"/>
    <w:rsid w:val="0013283F"/>
    <w:rsid w:val="00132ABA"/>
    <w:rsid w:val="00134494"/>
    <w:rsid w:val="0013614A"/>
    <w:rsid w:val="0013687D"/>
    <w:rsid w:val="00136EE0"/>
    <w:rsid w:val="00144177"/>
    <w:rsid w:val="00144D91"/>
    <w:rsid w:val="00145671"/>
    <w:rsid w:val="001464F4"/>
    <w:rsid w:val="00146DA1"/>
    <w:rsid w:val="00147085"/>
    <w:rsid w:val="001472E0"/>
    <w:rsid w:val="00147E49"/>
    <w:rsid w:val="00147F55"/>
    <w:rsid w:val="001513A8"/>
    <w:rsid w:val="00155407"/>
    <w:rsid w:val="001563D0"/>
    <w:rsid w:val="00156573"/>
    <w:rsid w:val="0016032A"/>
    <w:rsid w:val="00161852"/>
    <w:rsid w:val="001623D7"/>
    <w:rsid w:val="00162BF3"/>
    <w:rsid w:val="001641A3"/>
    <w:rsid w:val="0016555F"/>
    <w:rsid w:val="0016569E"/>
    <w:rsid w:val="00165AEC"/>
    <w:rsid w:val="00166B51"/>
    <w:rsid w:val="00166BDD"/>
    <w:rsid w:val="0016768B"/>
    <w:rsid w:val="00170401"/>
    <w:rsid w:val="00170FD4"/>
    <w:rsid w:val="0017206B"/>
    <w:rsid w:val="00173B6B"/>
    <w:rsid w:val="00174799"/>
    <w:rsid w:val="00177311"/>
    <w:rsid w:val="0017773B"/>
    <w:rsid w:val="001778FA"/>
    <w:rsid w:val="00180183"/>
    <w:rsid w:val="00180706"/>
    <w:rsid w:val="00182598"/>
    <w:rsid w:val="00182B4C"/>
    <w:rsid w:val="00182E31"/>
    <w:rsid w:val="00183122"/>
    <w:rsid w:val="001847BE"/>
    <w:rsid w:val="0018649F"/>
    <w:rsid w:val="001867C2"/>
    <w:rsid w:val="00187B1E"/>
    <w:rsid w:val="0019243A"/>
    <w:rsid w:val="0019298A"/>
    <w:rsid w:val="00193374"/>
    <w:rsid w:val="00193DCC"/>
    <w:rsid w:val="00194DA0"/>
    <w:rsid w:val="0019514C"/>
    <w:rsid w:val="00195B37"/>
    <w:rsid w:val="00196095"/>
    <w:rsid w:val="00196389"/>
    <w:rsid w:val="00196FC8"/>
    <w:rsid w:val="00197EB9"/>
    <w:rsid w:val="001A0CC7"/>
    <w:rsid w:val="001A0F11"/>
    <w:rsid w:val="001A1C53"/>
    <w:rsid w:val="001A2127"/>
    <w:rsid w:val="001A2630"/>
    <w:rsid w:val="001A3844"/>
    <w:rsid w:val="001A50FD"/>
    <w:rsid w:val="001A6AEA"/>
    <w:rsid w:val="001A6C77"/>
    <w:rsid w:val="001A7DB0"/>
    <w:rsid w:val="001B059D"/>
    <w:rsid w:val="001B1B7E"/>
    <w:rsid w:val="001B3668"/>
    <w:rsid w:val="001B36A7"/>
    <w:rsid w:val="001B4285"/>
    <w:rsid w:val="001B4E3F"/>
    <w:rsid w:val="001B54DF"/>
    <w:rsid w:val="001B5FFA"/>
    <w:rsid w:val="001B7AA1"/>
    <w:rsid w:val="001C09FB"/>
    <w:rsid w:val="001C0BBB"/>
    <w:rsid w:val="001C187D"/>
    <w:rsid w:val="001C6EF9"/>
    <w:rsid w:val="001C7A89"/>
    <w:rsid w:val="001D1BE5"/>
    <w:rsid w:val="001D28D9"/>
    <w:rsid w:val="001D4755"/>
    <w:rsid w:val="001D5307"/>
    <w:rsid w:val="001D6ACE"/>
    <w:rsid w:val="001D6BFF"/>
    <w:rsid w:val="001E0608"/>
    <w:rsid w:val="001E0E6B"/>
    <w:rsid w:val="001E1ABE"/>
    <w:rsid w:val="001E257E"/>
    <w:rsid w:val="001E5D96"/>
    <w:rsid w:val="001E6352"/>
    <w:rsid w:val="001E6B53"/>
    <w:rsid w:val="001E733B"/>
    <w:rsid w:val="001E7CA9"/>
    <w:rsid w:val="001F146F"/>
    <w:rsid w:val="001F1C8F"/>
    <w:rsid w:val="001F3C56"/>
    <w:rsid w:val="001F4AA3"/>
    <w:rsid w:val="001F5C2C"/>
    <w:rsid w:val="001F606D"/>
    <w:rsid w:val="001F6EB1"/>
    <w:rsid w:val="001F77A3"/>
    <w:rsid w:val="001F7E82"/>
    <w:rsid w:val="00200A1B"/>
    <w:rsid w:val="002010E8"/>
    <w:rsid w:val="002013F9"/>
    <w:rsid w:val="002030C2"/>
    <w:rsid w:val="002036BA"/>
    <w:rsid w:val="00204244"/>
    <w:rsid w:val="002074B6"/>
    <w:rsid w:val="00207C7C"/>
    <w:rsid w:val="00212546"/>
    <w:rsid w:val="00212E5F"/>
    <w:rsid w:val="00213B02"/>
    <w:rsid w:val="002147E9"/>
    <w:rsid w:val="00220F72"/>
    <w:rsid w:val="0022483A"/>
    <w:rsid w:val="002252D9"/>
    <w:rsid w:val="00225816"/>
    <w:rsid w:val="00227580"/>
    <w:rsid w:val="002300B5"/>
    <w:rsid w:val="0023053D"/>
    <w:rsid w:val="00230AFA"/>
    <w:rsid w:val="00230D10"/>
    <w:rsid w:val="0023138D"/>
    <w:rsid w:val="00231DEF"/>
    <w:rsid w:val="00234D53"/>
    <w:rsid w:val="002355CC"/>
    <w:rsid w:val="002356F2"/>
    <w:rsid w:val="00235706"/>
    <w:rsid w:val="0023779D"/>
    <w:rsid w:val="00237868"/>
    <w:rsid w:val="00237D53"/>
    <w:rsid w:val="00240004"/>
    <w:rsid w:val="0024316C"/>
    <w:rsid w:val="002431CB"/>
    <w:rsid w:val="002435BA"/>
    <w:rsid w:val="00243908"/>
    <w:rsid w:val="00244872"/>
    <w:rsid w:val="002462AB"/>
    <w:rsid w:val="002505E7"/>
    <w:rsid w:val="0025159B"/>
    <w:rsid w:val="0025171C"/>
    <w:rsid w:val="00254F5D"/>
    <w:rsid w:val="0025556E"/>
    <w:rsid w:val="00257AB2"/>
    <w:rsid w:val="00261BFF"/>
    <w:rsid w:val="0026319C"/>
    <w:rsid w:val="00267402"/>
    <w:rsid w:val="00267912"/>
    <w:rsid w:val="00271720"/>
    <w:rsid w:val="00271F29"/>
    <w:rsid w:val="00271F65"/>
    <w:rsid w:val="00273D2C"/>
    <w:rsid w:val="00274E12"/>
    <w:rsid w:val="0027515A"/>
    <w:rsid w:val="0027589D"/>
    <w:rsid w:val="0027689C"/>
    <w:rsid w:val="00277130"/>
    <w:rsid w:val="002771F4"/>
    <w:rsid w:val="00277553"/>
    <w:rsid w:val="00280578"/>
    <w:rsid w:val="00281D22"/>
    <w:rsid w:val="00282A15"/>
    <w:rsid w:val="00282C01"/>
    <w:rsid w:val="002835DE"/>
    <w:rsid w:val="002850CA"/>
    <w:rsid w:val="00285DE9"/>
    <w:rsid w:val="00286993"/>
    <w:rsid w:val="00287F63"/>
    <w:rsid w:val="0029049E"/>
    <w:rsid w:val="00291F2B"/>
    <w:rsid w:val="002920E5"/>
    <w:rsid w:val="002924B1"/>
    <w:rsid w:val="00293A1A"/>
    <w:rsid w:val="00293C42"/>
    <w:rsid w:val="00296464"/>
    <w:rsid w:val="002968FB"/>
    <w:rsid w:val="002969E4"/>
    <w:rsid w:val="002975F9"/>
    <w:rsid w:val="00297F09"/>
    <w:rsid w:val="00297FF0"/>
    <w:rsid w:val="002A01D8"/>
    <w:rsid w:val="002A0ED1"/>
    <w:rsid w:val="002A21CD"/>
    <w:rsid w:val="002A285C"/>
    <w:rsid w:val="002A2EFC"/>
    <w:rsid w:val="002A3484"/>
    <w:rsid w:val="002A511B"/>
    <w:rsid w:val="002A5550"/>
    <w:rsid w:val="002A62FE"/>
    <w:rsid w:val="002A6E2E"/>
    <w:rsid w:val="002B0BAA"/>
    <w:rsid w:val="002B1969"/>
    <w:rsid w:val="002B1E51"/>
    <w:rsid w:val="002B214E"/>
    <w:rsid w:val="002B2416"/>
    <w:rsid w:val="002B4C9F"/>
    <w:rsid w:val="002B6153"/>
    <w:rsid w:val="002B67DF"/>
    <w:rsid w:val="002B7F30"/>
    <w:rsid w:val="002C0D1A"/>
    <w:rsid w:val="002C0E18"/>
    <w:rsid w:val="002C1250"/>
    <w:rsid w:val="002C16BF"/>
    <w:rsid w:val="002C231F"/>
    <w:rsid w:val="002C2911"/>
    <w:rsid w:val="002C3FF9"/>
    <w:rsid w:val="002C471D"/>
    <w:rsid w:val="002C7EFE"/>
    <w:rsid w:val="002D06DA"/>
    <w:rsid w:val="002D09D3"/>
    <w:rsid w:val="002D0C59"/>
    <w:rsid w:val="002D3398"/>
    <w:rsid w:val="002D4C7E"/>
    <w:rsid w:val="002D5AAC"/>
    <w:rsid w:val="002D5AF4"/>
    <w:rsid w:val="002D6FAA"/>
    <w:rsid w:val="002E10CE"/>
    <w:rsid w:val="002E12FD"/>
    <w:rsid w:val="002E1C73"/>
    <w:rsid w:val="002E6CE2"/>
    <w:rsid w:val="002E7366"/>
    <w:rsid w:val="002E7AD2"/>
    <w:rsid w:val="002F33C2"/>
    <w:rsid w:val="002F3C02"/>
    <w:rsid w:val="002F3F7A"/>
    <w:rsid w:val="00301299"/>
    <w:rsid w:val="00301402"/>
    <w:rsid w:val="00301D0E"/>
    <w:rsid w:val="00303C15"/>
    <w:rsid w:val="00304A25"/>
    <w:rsid w:val="00305E4B"/>
    <w:rsid w:val="003076ED"/>
    <w:rsid w:val="00310AD2"/>
    <w:rsid w:val="00310DEF"/>
    <w:rsid w:val="00310EC3"/>
    <w:rsid w:val="003111B3"/>
    <w:rsid w:val="00311B53"/>
    <w:rsid w:val="0031412C"/>
    <w:rsid w:val="003161B9"/>
    <w:rsid w:val="003168A2"/>
    <w:rsid w:val="00316F79"/>
    <w:rsid w:val="003177AA"/>
    <w:rsid w:val="003178F4"/>
    <w:rsid w:val="00320A72"/>
    <w:rsid w:val="003211F1"/>
    <w:rsid w:val="00322004"/>
    <w:rsid w:val="003230E6"/>
    <w:rsid w:val="003238A0"/>
    <w:rsid w:val="00325128"/>
    <w:rsid w:val="0032659D"/>
    <w:rsid w:val="0033032B"/>
    <w:rsid w:val="0033198B"/>
    <w:rsid w:val="00333AFB"/>
    <w:rsid w:val="00337B81"/>
    <w:rsid w:val="003402C2"/>
    <w:rsid w:val="00340D8A"/>
    <w:rsid w:val="00341887"/>
    <w:rsid w:val="00343FBF"/>
    <w:rsid w:val="0034624F"/>
    <w:rsid w:val="00346847"/>
    <w:rsid w:val="00350FE3"/>
    <w:rsid w:val="003513A2"/>
    <w:rsid w:val="003517FB"/>
    <w:rsid w:val="003527C1"/>
    <w:rsid w:val="003552A0"/>
    <w:rsid w:val="00356571"/>
    <w:rsid w:val="00356C9D"/>
    <w:rsid w:val="00361986"/>
    <w:rsid w:val="003640D2"/>
    <w:rsid w:val="003656B6"/>
    <w:rsid w:val="003668E2"/>
    <w:rsid w:val="00371441"/>
    <w:rsid w:val="00371BBA"/>
    <w:rsid w:val="00372053"/>
    <w:rsid w:val="0037481B"/>
    <w:rsid w:val="0037498D"/>
    <w:rsid w:val="00375443"/>
    <w:rsid w:val="00375AEA"/>
    <w:rsid w:val="00375E71"/>
    <w:rsid w:val="00375E9C"/>
    <w:rsid w:val="00380A82"/>
    <w:rsid w:val="00381179"/>
    <w:rsid w:val="00381291"/>
    <w:rsid w:val="00381C24"/>
    <w:rsid w:val="00381D24"/>
    <w:rsid w:val="00384AAA"/>
    <w:rsid w:val="00384AB5"/>
    <w:rsid w:val="003910C0"/>
    <w:rsid w:val="00391930"/>
    <w:rsid w:val="00391AFE"/>
    <w:rsid w:val="003923B6"/>
    <w:rsid w:val="00392C10"/>
    <w:rsid w:val="0039304F"/>
    <w:rsid w:val="00393421"/>
    <w:rsid w:val="003935AB"/>
    <w:rsid w:val="00393CD4"/>
    <w:rsid w:val="0039550C"/>
    <w:rsid w:val="003958D0"/>
    <w:rsid w:val="00396979"/>
    <w:rsid w:val="00397519"/>
    <w:rsid w:val="00397701"/>
    <w:rsid w:val="00397996"/>
    <w:rsid w:val="00397D30"/>
    <w:rsid w:val="003A0C53"/>
    <w:rsid w:val="003A16B8"/>
    <w:rsid w:val="003A22F0"/>
    <w:rsid w:val="003A7A5D"/>
    <w:rsid w:val="003B00E5"/>
    <w:rsid w:val="003B0C0F"/>
    <w:rsid w:val="003B4007"/>
    <w:rsid w:val="003B48CC"/>
    <w:rsid w:val="003B5352"/>
    <w:rsid w:val="003B661C"/>
    <w:rsid w:val="003B7E8C"/>
    <w:rsid w:val="003C14E2"/>
    <w:rsid w:val="003C1F23"/>
    <w:rsid w:val="003C23A3"/>
    <w:rsid w:val="003C2538"/>
    <w:rsid w:val="003C34AA"/>
    <w:rsid w:val="003C3F53"/>
    <w:rsid w:val="003C6128"/>
    <w:rsid w:val="003C683C"/>
    <w:rsid w:val="003C7293"/>
    <w:rsid w:val="003D04C4"/>
    <w:rsid w:val="003D0CAD"/>
    <w:rsid w:val="003D1B49"/>
    <w:rsid w:val="003D281E"/>
    <w:rsid w:val="003D3304"/>
    <w:rsid w:val="003D3871"/>
    <w:rsid w:val="003D57D3"/>
    <w:rsid w:val="003D75B5"/>
    <w:rsid w:val="003E1191"/>
    <w:rsid w:val="003E2022"/>
    <w:rsid w:val="003E29F6"/>
    <w:rsid w:val="003E2E5E"/>
    <w:rsid w:val="003E6934"/>
    <w:rsid w:val="003E6F22"/>
    <w:rsid w:val="003F00E7"/>
    <w:rsid w:val="003F0D8B"/>
    <w:rsid w:val="003F0E79"/>
    <w:rsid w:val="003F1A4D"/>
    <w:rsid w:val="003F1CD0"/>
    <w:rsid w:val="003F1E7D"/>
    <w:rsid w:val="003F407B"/>
    <w:rsid w:val="003F5B6C"/>
    <w:rsid w:val="0040086E"/>
    <w:rsid w:val="00404F41"/>
    <w:rsid w:val="00405BD9"/>
    <w:rsid w:val="00406628"/>
    <w:rsid w:val="00406DD6"/>
    <w:rsid w:val="004106A6"/>
    <w:rsid w:val="004112DE"/>
    <w:rsid w:val="0041140F"/>
    <w:rsid w:val="0041394B"/>
    <w:rsid w:val="00414057"/>
    <w:rsid w:val="00414609"/>
    <w:rsid w:val="00414A16"/>
    <w:rsid w:val="00416245"/>
    <w:rsid w:val="004164A6"/>
    <w:rsid w:val="004175A1"/>
    <w:rsid w:val="00417777"/>
    <w:rsid w:val="00417F64"/>
    <w:rsid w:val="00420359"/>
    <w:rsid w:val="004204AD"/>
    <w:rsid w:val="00420C19"/>
    <w:rsid w:val="00421303"/>
    <w:rsid w:val="00422C43"/>
    <w:rsid w:val="00424904"/>
    <w:rsid w:val="004257B9"/>
    <w:rsid w:val="004267A2"/>
    <w:rsid w:val="00427F10"/>
    <w:rsid w:val="00430DBC"/>
    <w:rsid w:val="004335BB"/>
    <w:rsid w:val="004345B6"/>
    <w:rsid w:val="004346D5"/>
    <w:rsid w:val="00435F4D"/>
    <w:rsid w:val="00435F57"/>
    <w:rsid w:val="004372E7"/>
    <w:rsid w:val="0043795B"/>
    <w:rsid w:val="004401FB"/>
    <w:rsid w:val="00442312"/>
    <w:rsid w:val="00442C9F"/>
    <w:rsid w:val="00442CCB"/>
    <w:rsid w:val="00443369"/>
    <w:rsid w:val="00446CC8"/>
    <w:rsid w:val="004472EF"/>
    <w:rsid w:val="00447BA1"/>
    <w:rsid w:val="00447D0E"/>
    <w:rsid w:val="00450105"/>
    <w:rsid w:val="00450C46"/>
    <w:rsid w:val="0045106F"/>
    <w:rsid w:val="00451281"/>
    <w:rsid w:val="00454E07"/>
    <w:rsid w:val="0045519D"/>
    <w:rsid w:val="00455B16"/>
    <w:rsid w:val="00455C34"/>
    <w:rsid w:val="00456446"/>
    <w:rsid w:val="004572C8"/>
    <w:rsid w:val="00457B22"/>
    <w:rsid w:val="00460AFB"/>
    <w:rsid w:val="00461A85"/>
    <w:rsid w:val="00462142"/>
    <w:rsid w:val="00462DAD"/>
    <w:rsid w:val="00462E0C"/>
    <w:rsid w:val="004634CF"/>
    <w:rsid w:val="004646D6"/>
    <w:rsid w:val="00464C25"/>
    <w:rsid w:val="00465C95"/>
    <w:rsid w:val="00466367"/>
    <w:rsid w:val="00467649"/>
    <w:rsid w:val="00467AEA"/>
    <w:rsid w:val="0047052C"/>
    <w:rsid w:val="00470D41"/>
    <w:rsid w:val="00470DC2"/>
    <w:rsid w:val="00471A57"/>
    <w:rsid w:val="00475518"/>
    <w:rsid w:val="00475F3C"/>
    <w:rsid w:val="00476221"/>
    <w:rsid w:val="00480052"/>
    <w:rsid w:val="004815B3"/>
    <w:rsid w:val="00481BA5"/>
    <w:rsid w:val="004821A6"/>
    <w:rsid w:val="004822C7"/>
    <w:rsid w:val="00483437"/>
    <w:rsid w:val="004836F9"/>
    <w:rsid w:val="00486378"/>
    <w:rsid w:val="004869B4"/>
    <w:rsid w:val="00490255"/>
    <w:rsid w:val="0049207B"/>
    <w:rsid w:val="0049221E"/>
    <w:rsid w:val="00493073"/>
    <w:rsid w:val="00494B6E"/>
    <w:rsid w:val="004956FF"/>
    <w:rsid w:val="00495728"/>
    <w:rsid w:val="004A04B7"/>
    <w:rsid w:val="004A086B"/>
    <w:rsid w:val="004A3163"/>
    <w:rsid w:val="004A3707"/>
    <w:rsid w:val="004A3931"/>
    <w:rsid w:val="004A6FE7"/>
    <w:rsid w:val="004B408C"/>
    <w:rsid w:val="004B534F"/>
    <w:rsid w:val="004B633D"/>
    <w:rsid w:val="004B66F1"/>
    <w:rsid w:val="004C0B22"/>
    <w:rsid w:val="004C1BBD"/>
    <w:rsid w:val="004C3AEB"/>
    <w:rsid w:val="004C400F"/>
    <w:rsid w:val="004C4E94"/>
    <w:rsid w:val="004C4F83"/>
    <w:rsid w:val="004C6B02"/>
    <w:rsid w:val="004D12C1"/>
    <w:rsid w:val="004D1A22"/>
    <w:rsid w:val="004D2229"/>
    <w:rsid w:val="004D259E"/>
    <w:rsid w:val="004D28EB"/>
    <w:rsid w:val="004D3FB1"/>
    <w:rsid w:val="004D45DB"/>
    <w:rsid w:val="004D7EF3"/>
    <w:rsid w:val="004E1BF2"/>
    <w:rsid w:val="004E1C2A"/>
    <w:rsid w:val="004E3A82"/>
    <w:rsid w:val="004E593C"/>
    <w:rsid w:val="004E5C5B"/>
    <w:rsid w:val="004E6464"/>
    <w:rsid w:val="004F036F"/>
    <w:rsid w:val="004F16F9"/>
    <w:rsid w:val="004F2374"/>
    <w:rsid w:val="004F25DD"/>
    <w:rsid w:val="004F2FC9"/>
    <w:rsid w:val="004F3E62"/>
    <w:rsid w:val="004F514F"/>
    <w:rsid w:val="0050108D"/>
    <w:rsid w:val="005019D7"/>
    <w:rsid w:val="00503BE9"/>
    <w:rsid w:val="00504C15"/>
    <w:rsid w:val="005052B7"/>
    <w:rsid w:val="0050539B"/>
    <w:rsid w:val="00505CED"/>
    <w:rsid w:val="00512C44"/>
    <w:rsid w:val="00514006"/>
    <w:rsid w:val="00514C02"/>
    <w:rsid w:val="00515613"/>
    <w:rsid w:val="00515F3C"/>
    <w:rsid w:val="00517FEE"/>
    <w:rsid w:val="00521BC0"/>
    <w:rsid w:val="00522A69"/>
    <w:rsid w:val="00523F52"/>
    <w:rsid w:val="005244B7"/>
    <w:rsid w:val="005312CA"/>
    <w:rsid w:val="005321F9"/>
    <w:rsid w:val="00536DF4"/>
    <w:rsid w:val="00537DC5"/>
    <w:rsid w:val="00542840"/>
    <w:rsid w:val="00542E17"/>
    <w:rsid w:val="00544AE5"/>
    <w:rsid w:val="00545A7D"/>
    <w:rsid w:val="00546602"/>
    <w:rsid w:val="00551560"/>
    <w:rsid w:val="00552421"/>
    <w:rsid w:val="005524B5"/>
    <w:rsid w:val="00552575"/>
    <w:rsid w:val="00554DB1"/>
    <w:rsid w:val="00554F17"/>
    <w:rsid w:val="00560291"/>
    <w:rsid w:val="00562CC4"/>
    <w:rsid w:val="00563B47"/>
    <w:rsid w:val="00565F43"/>
    <w:rsid w:val="0056729B"/>
    <w:rsid w:val="0057065E"/>
    <w:rsid w:val="005726E2"/>
    <w:rsid w:val="00572E19"/>
    <w:rsid w:val="005730D3"/>
    <w:rsid w:val="005753CB"/>
    <w:rsid w:val="00575CAD"/>
    <w:rsid w:val="00575DBB"/>
    <w:rsid w:val="00575FE5"/>
    <w:rsid w:val="00576734"/>
    <w:rsid w:val="0057697B"/>
    <w:rsid w:val="00581699"/>
    <w:rsid w:val="0058252C"/>
    <w:rsid w:val="00582FE9"/>
    <w:rsid w:val="00584024"/>
    <w:rsid w:val="005848FC"/>
    <w:rsid w:val="00585EBD"/>
    <w:rsid w:val="00587E13"/>
    <w:rsid w:val="00592007"/>
    <w:rsid w:val="005933FD"/>
    <w:rsid w:val="0059561A"/>
    <w:rsid w:val="00596287"/>
    <w:rsid w:val="005A08B5"/>
    <w:rsid w:val="005A0BAE"/>
    <w:rsid w:val="005A29B7"/>
    <w:rsid w:val="005A3568"/>
    <w:rsid w:val="005A49F0"/>
    <w:rsid w:val="005A5E3B"/>
    <w:rsid w:val="005A7EEA"/>
    <w:rsid w:val="005B1169"/>
    <w:rsid w:val="005B2AA8"/>
    <w:rsid w:val="005B40CC"/>
    <w:rsid w:val="005B605A"/>
    <w:rsid w:val="005C09DA"/>
    <w:rsid w:val="005C17D5"/>
    <w:rsid w:val="005C2070"/>
    <w:rsid w:val="005C2813"/>
    <w:rsid w:val="005C43E4"/>
    <w:rsid w:val="005C5FBF"/>
    <w:rsid w:val="005C6840"/>
    <w:rsid w:val="005C6FD7"/>
    <w:rsid w:val="005C7EF0"/>
    <w:rsid w:val="005D235A"/>
    <w:rsid w:val="005D26C2"/>
    <w:rsid w:val="005D28BC"/>
    <w:rsid w:val="005D6496"/>
    <w:rsid w:val="005D6AB1"/>
    <w:rsid w:val="005D7179"/>
    <w:rsid w:val="005D73D0"/>
    <w:rsid w:val="005D7A0A"/>
    <w:rsid w:val="005D7AA3"/>
    <w:rsid w:val="005E0FC4"/>
    <w:rsid w:val="005E17D0"/>
    <w:rsid w:val="005E227D"/>
    <w:rsid w:val="005E3E55"/>
    <w:rsid w:val="005E458A"/>
    <w:rsid w:val="005E4796"/>
    <w:rsid w:val="005E59CA"/>
    <w:rsid w:val="005E5E0D"/>
    <w:rsid w:val="005E612E"/>
    <w:rsid w:val="005E74B0"/>
    <w:rsid w:val="005F057D"/>
    <w:rsid w:val="005F0B42"/>
    <w:rsid w:val="005F257C"/>
    <w:rsid w:val="005F2AD1"/>
    <w:rsid w:val="005F55D0"/>
    <w:rsid w:val="005F6E06"/>
    <w:rsid w:val="005F7937"/>
    <w:rsid w:val="005F79F9"/>
    <w:rsid w:val="006000C2"/>
    <w:rsid w:val="00600827"/>
    <w:rsid w:val="00600973"/>
    <w:rsid w:val="00601030"/>
    <w:rsid w:val="00601A84"/>
    <w:rsid w:val="00602FB5"/>
    <w:rsid w:val="00603EAD"/>
    <w:rsid w:val="00606A5B"/>
    <w:rsid w:val="00611CCE"/>
    <w:rsid w:val="00612349"/>
    <w:rsid w:val="00613AB7"/>
    <w:rsid w:val="00615667"/>
    <w:rsid w:val="00616A53"/>
    <w:rsid w:val="006171B0"/>
    <w:rsid w:val="0061763D"/>
    <w:rsid w:val="00617BD1"/>
    <w:rsid w:val="0062033F"/>
    <w:rsid w:val="0062154D"/>
    <w:rsid w:val="00622068"/>
    <w:rsid w:val="00622CAB"/>
    <w:rsid w:val="00622E67"/>
    <w:rsid w:val="00623682"/>
    <w:rsid w:val="006253E9"/>
    <w:rsid w:val="00626155"/>
    <w:rsid w:val="00626377"/>
    <w:rsid w:val="00626682"/>
    <w:rsid w:val="00626753"/>
    <w:rsid w:val="006271C8"/>
    <w:rsid w:val="006275BF"/>
    <w:rsid w:val="00630148"/>
    <w:rsid w:val="00630FD6"/>
    <w:rsid w:val="006325A0"/>
    <w:rsid w:val="00633247"/>
    <w:rsid w:val="00635E6F"/>
    <w:rsid w:val="00636C8C"/>
    <w:rsid w:val="00642BE8"/>
    <w:rsid w:val="00642D73"/>
    <w:rsid w:val="00645336"/>
    <w:rsid w:val="006453E2"/>
    <w:rsid w:val="006467FF"/>
    <w:rsid w:val="00650700"/>
    <w:rsid w:val="00650D6A"/>
    <w:rsid w:val="00652591"/>
    <w:rsid w:val="00652ED5"/>
    <w:rsid w:val="006539AF"/>
    <w:rsid w:val="00653A63"/>
    <w:rsid w:val="0065517B"/>
    <w:rsid w:val="00657229"/>
    <w:rsid w:val="006572FC"/>
    <w:rsid w:val="00657846"/>
    <w:rsid w:val="0066010A"/>
    <w:rsid w:val="00661033"/>
    <w:rsid w:val="00661103"/>
    <w:rsid w:val="006613F7"/>
    <w:rsid w:val="006667A9"/>
    <w:rsid w:val="006679D2"/>
    <w:rsid w:val="00671439"/>
    <w:rsid w:val="0067346F"/>
    <w:rsid w:val="0067395C"/>
    <w:rsid w:val="00673AFD"/>
    <w:rsid w:val="00673E58"/>
    <w:rsid w:val="0067408F"/>
    <w:rsid w:val="00674715"/>
    <w:rsid w:val="00677B50"/>
    <w:rsid w:val="006806FA"/>
    <w:rsid w:val="00684165"/>
    <w:rsid w:val="006843B9"/>
    <w:rsid w:val="00686855"/>
    <w:rsid w:val="006954BD"/>
    <w:rsid w:val="006958EA"/>
    <w:rsid w:val="00696AD3"/>
    <w:rsid w:val="006A00A4"/>
    <w:rsid w:val="006A0419"/>
    <w:rsid w:val="006A167B"/>
    <w:rsid w:val="006A3784"/>
    <w:rsid w:val="006A3D29"/>
    <w:rsid w:val="006B078D"/>
    <w:rsid w:val="006B0B16"/>
    <w:rsid w:val="006B1792"/>
    <w:rsid w:val="006B278C"/>
    <w:rsid w:val="006B3467"/>
    <w:rsid w:val="006B3A76"/>
    <w:rsid w:val="006B3E58"/>
    <w:rsid w:val="006B45AE"/>
    <w:rsid w:val="006B6396"/>
    <w:rsid w:val="006C1A99"/>
    <w:rsid w:val="006C1CA3"/>
    <w:rsid w:val="006C2AA6"/>
    <w:rsid w:val="006C46ED"/>
    <w:rsid w:val="006C4AC0"/>
    <w:rsid w:val="006C51AD"/>
    <w:rsid w:val="006C6A10"/>
    <w:rsid w:val="006C6D28"/>
    <w:rsid w:val="006C725F"/>
    <w:rsid w:val="006D282D"/>
    <w:rsid w:val="006D2C74"/>
    <w:rsid w:val="006D30AF"/>
    <w:rsid w:val="006D3CDE"/>
    <w:rsid w:val="006D4A09"/>
    <w:rsid w:val="006D4BF8"/>
    <w:rsid w:val="006D6D4C"/>
    <w:rsid w:val="006D7C8F"/>
    <w:rsid w:val="006D7F4E"/>
    <w:rsid w:val="006E06DD"/>
    <w:rsid w:val="006E083B"/>
    <w:rsid w:val="006E4ACB"/>
    <w:rsid w:val="006E4E82"/>
    <w:rsid w:val="006E6161"/>
    <w:rsid w:val="006E6396"/>
    <w:rsid w:val="006E6A08"/>
    <w:rsid w:val="006E7360"/>
    <w:rsid w:val="006E7FC6"/>
    <w:rsid w:val="006F0FC0"/>
    <w:rsid w:val="006F120D"/>
    <w:rsid w:val="006F1828"/>
    <w:rsid w:val="006F20C7"/>
    <w:rsid w:val="006F2605"/>
    <w:rsid w:val="006F35EE"/>
    <w:rsid w:val="006F4883"/>
    <w:rsid w:val="006F7699"/>
    <w:rsid w:val="006F7E96"/>
    <w:rsid w:val="00700520"/>
    <w:rsid w:val="00700BC4"/>
    <w:rsid w:val="00701493"/>
    <w:rsid w:val="007019E6"/>
    <w:rsid w:val="007021FF"/>
    <w:rsid w:val="00702E28"/>
    <w:rsid w:val="007065F5"/>
    <w:rsid w:val="007065FB"/>
    <w:rsid w:val="0070718A"/>
    <w:rsid w:val="007105BE"/>
    <w:rsid w:val="007106D3"/>
    <w:rsid w:val="00711A36"/>
    <w:rsid w:val="00711C9B"/>
    <w:rsid w:val="00712239"/>
    <w:rsid w:val="007127AA"/>
    <w:rsid w:val="007132EB"/>
    <w:rsid w:val="00714266"/>
    <w:rsid w:val="00714454"/>
    <w:rsid w:val="00714B8A"/>
    <w:rsid w:val="00717FBE"/>
    <w:rsid w:val="007223C5"/>
    <w:rsid w:val="0072466F"/>
    <w:rsid w:val="00725DEB"/>
    <w:rsid w:val="00726772"/>
    <w:rsid w:val="00727C4A"/>
    <w:rsid w:val="00731378"/>
    <w:rsid w:val="00731952"/>
    <w:rsid w:val="00732532"/>
    <w:rsid w:val="007327E8"/>
    <w:rsid w:val="00734D4B"/>
    <w:rsid w:val="007351A6"/>
    <w:rsid w:val="0073528E"/>
    <w:rsid w:val="00736D74"/>
    <w:rsid w:val="00740216"/>
    <w:rsid w:val="00741E80"/>
    <w:rsid w:val="007427A0"/>
    <w:rsid w:val="0074396D"/>
    <w:rsid w:val="007443EB"/>
    <w:rsid w:val="007455C0"/>
    <w:rsid w:val="00751345"/>
    <w:rsid w:val="00757357"/>
    <w:rsid w:val="007575B2"/>
    <w:rsid w:val="007609FA"/>
    <w:rsid w:val="00764C6A"/>
    <w:rsid w:val="00765DD5"/>
    <w:rsid w:val="0077242E"/>
    <w:rsid w:val="0077265D"/>
    <w:rsid w:val="00774720"/>
    <w:rsid w:val="00774762"/>
    <w:rsid w:val="00774E42"/>
    <w:rsid w:val="007751DD"/>
    <w:rsid w:val="00776C65"/>
    <w:rsid w:val="0077726C"/>
    <w:rsid w:val="0077767D"/>
    <w:rsid w:val="007779A7"/>
    <w:rsid w:val="00780314"/>
    <w:rsid w:val="00781C8F"/>
    <w:rsid w:val="00783D05"/>
    <w:rsid w:val="00784253"/>
    <w:rsid w:val="00784784"/>
    <w:rsid w:val="00786375"/>
    <w:rsid w:val="0078666F"/>
    <w:rsid w:val="00787F2C"/>
    <w:rsid w:val="00791139"/>
    <w:rsid w:val="007914BD"/>
    <w:rsid w:val="0079182A"/>
    <w:rsid w:val="007928EA"/>
    <w:rsid w:val="00792B11"/>
    <w:rsid w:val="00792D67"/>
    <w:rsid w:val="00793FD4"/>
    <w:rsid w:val="00794D68"/>
    <w:rsid w:val="007950F8"/>
    <w:rsid w:val="00795FFE"/>
    <w:rsid w:val="00797603"/>
    <w:rsid w:val="007A059A"/>
    <w:rsid w:val="007A20F6"/>
    <w:rsid w:val="007A348F"/>
    <w:rsid w:val="007A3658"/>
    <w:rsid w:val="007A4068"/>
    <w:rsid w:val="007A44BC"/>
    <w:rsid w:val="007A4D39"/>
    <w:rsid w:val="007A671B"/>
    <w:rsid w:val="007A7703"/>
    <w:rsid w:val="007A7CB0"/>
    <w:rsid w:val="007A7F72"/>
    <w:rsid w:val="007B5315"/>
    <w:rsid w:val="007B7648"/>
    <w:rsid w:val="007C049F"/>
    <w:rsid w:val="007C09BD"/>
    <w:rsid w:val="007C1395"/>
    <w:rsid w:val="007C1B7F"/>
    <w:rsid w:val="007C1FEF"/>
    <w:rsid w:val="007C224E"/>
    <w:rsid w:val="007C2FD6"/>
    <w:rsid w:val="007C3F1D"/>
    <w:rsid w:val="007C4CA2"/>
    <w:rsid w:val="007C5ECE"/>
    <w:rsid w:val="007C6863"/>
    <w:rsid w:val="007C6D1D"/>
    <w:rsid w:val="007C7E47"/>
    <w:rsid w:val="007D0478"/>
    <w:rsid w:val="007D1E85"/>
    <w:rsid w:val="007D2379"/>
    <w:rsid w:val="007D4CB1"/>
    <w:rsid w:val="007D645B"/>
    <w:rsid w:val="007D7FC3"/>
    <w:rsid w:val="007E1140"/>
    <w:rsid w:val="007E1357"/>
    <w:rsid w:val="007E16A7"/>
    <w:rsid w:val="007E1A38"/>
    <w:rsid w:val="007E212A"/>
    <w:rsid w:val="007E3C85"/>
    <w:rsid w:val="007E4324"/>
    <w:rsid w:val="007E5C0D"/>
    <w:rsid w:val="007E7E79"/>
    <w:rsid w:val="007F08B3"/>
    <w:rsid w:val="007F338C"/>
    <w:rsid w:val="007F4281"/>
    <w:rsid w:val="007F513C"/>
    <w:rsid w:val="007F6003"/>
    <w:rsid w:val="007F6F9D"/>
    <w:rsid w:val="007F79DD"/>
    <w:rsid w:val="00800498"/>
    <w:rsid w:val="008039FC"/>
    <w:rsid w:val="00804AC2"/>
    <w:rsid w:val="00805030"/>
    <w:rsid w:val="008052D1"/>
    <w:rsid w:val="00805E5A"/>
    <w:rsid w:val="0080606D"/>
    <w:rsid w:val="00806238"/>
    <w:rsid w:val="0080678F"/>
    <w:rsid w:val="00810664"/>
    <w:rsid w:val="00812A5B"/>
    <w:rsid w:val="008133AA"/>
    <w:rsid w:val="008157AA"/>
    <w:rsid w:val="0081593C"/>
    <w:rsid w:val="00820371"/>
    <w:rsid w:val="00820B63"/>
    <w:rsid w:val="00822B08"/>
    <w:rsid w:val="0082570B"/>
    <w:rsid w:val="00825AB1"/>
    <w:rsid w:val="00825E0E"/>
    <w:rsid w:val="00827BD0"/>
    <w:rsid w:val="0083062C"/>
    <w:rsid w:val="008310DD"/>
    <w:rsid w:val="0083141D"/>
    <w:rsid w:val="00834B71"/>
    <w:rsid w:val="00834F05"/>
    <w:rsid w:val="00836606"/>
    <w:rsid w:val="0083675B"/>
    <w:rsid w:val="00836CDC"/>
    <w:rsid w:val="0083747D"/>
    <w:rsid w:val="00841664"/>
    <w:rsid w:val="00841E79"/>
    <w:rsid w:val="00842310"/>
    <w:rsid w:val="0084284A"/>
    <w:rsid w:val="008434DA"/>
    <w:rsid w:val="0084462A"/>
    <w:rsid w:val="008452C4"/>
    <w:rsid w:val="008455E3"/>
    <w:rsid w:val="00847EB7"/>
    <w:rsid w:val="00851207"/>
    <w:rsid w:val="008538B7"/>
    <w:rsid w:val="00855AD6"/>
    <w:rsid w:val="008577BD"/>
    <w:rsid w:val="00857BE1"/>
    <w:rsid w:val="00860A9B"/>
    <w:rsid w:val="0086162A"/>
    <w:rsid w:val="008640DF"/>
    <w:rsid w:val="0086445C"/>
    <w:rsid w:val="00864AD9"/>
    <w:rsid w:val="00864B64"/>
    <w:rsid w:val="008656B6"/>
    <w:rsid w:val="008657D7"/>
    <w:rsid w:val="00867950"/>
    <w:rsid w:val="00870931"/>
    <w:rsid w:val="00870A7B"/>
    <w:rsid w:val="008718D8"/>
    <w:rsid w:val="00871DC5"/>
    <w:rsid w:val="00872562"/>
    <w:rsid w:val="00873E58"/>
    <w:rsid w:val="00875297"/>
    <w:rsid w:val="008761DA"/>
    <w:rsid w:val="00876749"/>
    <w:rsid w:val="00876C10"/>
    <w:rsid w:val="008810EA"/>
    <w:rsid w:val="00884344"/>
    <w:rsid w:val="00884DC3"/>
    <w:rsid w:val="0088673C"/>
    <w:rsid w:val="008903D8"/>
    <w:rsid w:val="0089068D"/>
    <w:rsid w:val="00890C69"/>
    <w:rsid w:val="00893456"/>
    <w:rsid w:val="0089500A"/>
    <w:rsid w:val="00895646"/>
    <w:rsid w:val="00895ED4"/>
    <w:rsid w:val="008961FD"/>
    <w:rsid w:val="00897906"/>
    <w:rsid w:val="008A08D7"/>
    <w:rsid w:val="008A1BDF"/>
    <w:rsid w:val="008A2BE1"/>
    <w:rsid w:val="008A2F31"/>
    <w:rsid w:val="008A3534"/>
    <w:rsid w:val="008B005D"/>
    <w:rsid w:val="008B0658"/>
    <w:rsid w:val="008B14F7"/>
    <w:rsid w:val="008B1688"/>
    <w:rsid w:val="008B3095"/>
    <w:rsid w:val="008B450A"/>
    <w:rsid w:val="008B4F44"/>
    <w:rsid w:val="008B538A"/>
    <w:rsid w:val="008B5539"/>
    <w:rsid w:val="008B6E1D"/>
    <w:rsid w:val="008C18AD"/>
    <w:rsid w:val="008C2B1A"/>
    <w:rsid w:val="008C501A"/>
    <w:rsid w:val="008C5619"/>
    <w:rsid w:val="008C5994"/>
    <w:rsid w:val="008C672F"/>
    <w:rsid w:val="008D0D99"/>
    <w:rsid w:val="008D361D"/>
    <w:rsid w:val="008D380A"/>
    <w:rsid w:val="008D5C76"/>
    <w:rsid w:val="008D6142"/>
    <w:rsid w:val="008D628F"/>
    <w:rsid w:val="008D6690"/>
    <w:rsid w:val="008D769A"/>
    <w:rsid w:val="008E0E5B"/>
    <w:rsid w:val="008E1429"/>
    <w:rsid w:val="008E2D57"/>
    <w:rsid w:val="008E363C"/>
    <w:rsid w:val="008E3CDD"/>
    <w:rsid w:val="008E4932"/>
    <w:rsid w:val="008E691E"/>
    <w:rsid w:val="008E71A7"/>
    <w:rsid w:val="008F03D3"/>
    <w:rsid w:val="008F2BCB"/>
    <w:rsid w:val="008F4303"/>
    <w:rsid w:val="008F4478"/>
    <w:rsid w:val="008F4847"/>
    <w:rsid w:val="008F4A1F"/>
    <w:rsid w:val="008F4EA0"/>
    <w:rsid w:val="008F6E91"/>
    <w:rsid w:val="009020C6"/>
    <w:rsid w:val="0090267E"/>
    <w:rsid w:val="00902E58"/>
    <w:rsid w:val="009030DA"/>
    <w:rsid w:val="00905A60"/>
    <w:rsid w:val="00905A98"/>
    <w:rsid w:val="00905CBF"/>
    <w:rsid w:val="00906890"/>
    <w:rsid w:val="00906B50"/>
    <w:rsid w:val="009074B1"/>
    <w:rsid w:val="00907504"/>
    <w:rsid w:val="00907FF5"/>
    <w:rsid w:val="00912A59"/>
    <w:rsid w:val="0091334D"/>
    <w:rsid w:val="009145C2"/>
    <w:rsid w:val="0091700F"/>
    <w:rsid w:val="00920D96"/>
    <w:rsid w:val="00921794"/>
    <w:rsid w:val="0092184E"/>
    <w:rsid w:val="00921AEB"/>
    <w:rsid w:val="00924355"/>
    <w:rsid w:val="00924AB1"/>
    <w:rsid w:val="00927260"/>
    <w:rsid w:val="0093138B"/>
    <w:rsid w:val="00931C0D"/>
    <w:rsid w:val="009324E9"/>
    <w:rsid w:val="00932510"/>
    <w:rsid w:val="00932B73"/>
    <w:rsid w:val="009340EC"/>
    <w:rsid w:val="00936848"/>
    <w:rsid w:val="0094001F"/>
    <w:rsid w:val="0094020B"/>
    <w:rsid w:val="00940C1F"/>
    <w:rsid w:val="009416FB"/>
    <w:rsid w:val="0094180D"/>
    <w:rsid w:val="00943042"/>
    <w:rsid w:val="00943B7A"/>
    <w:rsid w:val="0094453A"/>
    <w:rsid w:val="00947EFD"/>
    <w:rsid w:val="00951597"/>
    <w:rsid w:val="00951972"/>
    <w:rsid w:val="009535F0"/>
    <w:rsid w:val="00953B2B"/>
    <w:rsid w:val="009540C6"/>
    <w:rsid w:val="009549C6"/>
    <w:rsid w:val="00955086"/>
    <w:rsid w:val="0095552D"/>
    <w:rsid w:val="009556C1"/>
    <w:rsid w:val="00956821"/>
    <w:rsid w:val="00956944"/>
    <w:rsid w:val="00957931"/>
    <w:rsid w:val="00960237"/>
    <w:rsid w:val="00960D51"/>
    <w:rsid w:val="00962309"/>
    <w:rsid w:val="00964A6B"/>
    <w:rsid w:val="00966FD5"/>
    <w:rsid w:val="009702FC"/>
    <w:rsid w:val="00970CF6"/>
    <w:rsid w:val="00970F1B"/>
    <w:rsid w:val="0097123C"/>
    <w:rsid w:val="009726FE"/>
    <w:rsid w:val="00973612"/>
    <w:rsid w:val="00973C5B"/>
    <w:rsid w:val="0097764B"/>
    <w:rsid w:val="00977D49"/>
    <w:rsid w:val="00980FD0"/>
    <w:rsid w:val="00983698"/>
    <w:rsid w:val="0098541E"/>
    <w:rsid w:val="00985A42"/>
    <w:rsid w:val="00987982"/>
    <w:rsid w:val="00987DC3"/>
    <w:rsid w:val="0099047E"/>
    <w:rsid w:val="009907D1"/>
    <w:rsid w:val="009918BB"/>
    <w:rsid w:val="00992152"/>
    <w:rsid w:val="009945DC"/>
    <w:rsid w:val="009948B1"/>
    <w:rsid w:val="00994E01"/>
    <w:rsid w:val="00995653"/>
    <w:rsid w:val="00996542"/>
    <w:rsid w:val="009A0238"/>
    <w:rsid w:val="009A0F0D"/>
    <w:rsid w:val="009A2299"/>
    <w:rsid w:val="009A33DB"/>
    <w:rsid w:val="009A50A0"/>
    <w:rsid w:val="009A6B7B"/>
    <w:rsid w:val="009A7BD1"/>
    <w:rsid w:val="009B11AE"/>
    <w:rsid w:val="009B121B"/>
    <w:rsid w:val="009B139F"/>
    <w:rsid w:val="009B1A86"/>
    <w:rsid w:val="009B2343"/>
    <w:rsid w:val="009B2622"/>
    <w:rsid w:val="009B4611"/>
    <w:rsid w:val="009B4D9A"/>
    <w:rsid w:val="009B533B"/>
    <w:rsid w:val="009B5B34"/>
    <w:rsid w:val="009B61BB"/>
    <w:rsid w:val="009C0250"/>
    <w:rsid w:val="009C1CB5"/>
    <w:rsid w:val="009C20F3"/>
    <w:rsid w:val="009C30BC"/>
    <w:rsid w:val="009C4E9C"/>
    <w:rsid w:val="009C646E"/>
    <w:rsid w:val="009C76B4"/>
    <w:rsid w:val="009D030F"/>
    <w:rsid w:val="009D0A8A"/>
    <w:rsid w:val="009D1360"/>
    <w:rsid w:val="009D3443"/>
    <w:rsid w:val="009D3C54"/>
    <w:rsid w:val="009D3EFA"/>
    <w:rsid w:val="009D4857"/>
    <w:rsid w:val="009D51FB"/>
    <w:rsid w:val="009D61A6"/>
    <w:rsid w:val="009D693D"/>
    <w:rsid w:val="009E1870"/>
    <w:rsid w:val="009E1BE3"/>
    <w:rsid w:val="009E1CBE"/>
    <w:rsid w:val="009E4C02"/>
    <w:rsid w:val="009E6C74"/>
    <w:rsid w:val="009E7033"/>
    <w:rsid w:val="009E74EA"/>
    <w:rsid w:val="009F031E"/>
    <w:rsid w:val="009F07EB"/>
    <w:rsid w:val="009F0AA9"/>
    <w:rsid w:val="009F155E"/>
    <w:rsid w:val="009F21E6"/>
    <w:rsid w:val="009F37C9"/>
    <w:rsid w:val="009F5B1D"/>
    <w:rsid w:val="009F5FBB"/>
    <w:rsid w:val="009F69F1"/>
    <w:rsid w:val="009F76E6"/>
    <w:rsid w:val="00A00149"/>
    <w:rsid w:val="00A002A9"/>
    <w:rsid w:val="00A00C5F"/>
    <w:rsid w:val="00A01307"/>
    <w:rsid w:val="00A017C7"/>
    <w:rsid w:val="00A025A7"/>
    <w:rsid w:val="00A03BEB"/>
    <w:rsid w:val="00A075D5"/>
    <w:rsid w:val="00A11467"/>
    <w:rsid w:val="00A126F5"/>
    <w:rsid w:val="00A1342C"/>
    <w:rsid w:val="00A13980"/>
    <w:rsid w:val="00A145F4"/>
    <w:rsid w:val="00A14BE3"/>
    <w:rsid w:val="00A16939"/>
    <w:rsid w:val="00A17352"/>
    <w:rsid w:val="00A21D1D"/>
    <w:rsid w:val="00A22E94"/>
    <w:rsid w:val="00A234AF"/>
    <w:rsid w:val="00A235DC"/>
    <w:rsid w:val="00A27A62"/>
    <w:rsid w:val="00A305CF"/>
    <w:rsid w:val="00A307BD"/>
    <w:rsid w:val="00A328BF"/>
    <w:rsid w:val="00A33A22"/>
    <w:rsid w:val="00A33AC0"/>
    <w:rsid w:val="00A35A24"/>
    <w:rsid w:val="00A374C6"/>
    <w:rsid w:val="00A402AB"/>
    <w:rsid w:val="00A40D28"/>
    <w:rsid w:val="00A415DC"/>
    <w:rsid w:val="00A4207E"/>
    <w:rsid w:val="00A42591"/>
    <w:rsid w:val="00A42BB7"/>
    <w:rsid w:val="00A43957"/>
    <w:rsid w:val="00A45707"/>
    <w:rsid w:val="00A463BF"/>
    <w:rsid w:val="00A46EEF"/>
    <w:rsid w:val="00A51D80"/>
    <w:rsid w:val="00A531B1"/>
    <w:rsid w:val="00A5414B"/>
    <w:rsid w:val="00A54AEC"/>
    <w:rsid w:val="00A552DB"/>
    <w:rsid w:val="00A56CA7"/>
    <w:rsid w:val="00A57DF8"/>
    <w:rsid w:val="00A57EA4"/>
    <w:rsid w:val="00A6047E"/>
    <w:rsid w:val="00A622F5"/>
    <w:rsid w:val="00A62E6B"/>
    <w:rsid w:val="00A6370E"/>
    <w:rsid w:val="00A646CF"/>
    <w:rsid w:val="00A64E3B"/>
    <w:rsid w:val="00A673BC"/>
    <w:rsid w:val="00A715DF"/>
    <w:rsid w:val="00A71B05"/>
    <w:rsid w:val="00A71E34"/>
    <w:rsid w:val="00A721AE"/>
    <w:rsid w:val="00A72B67"/>
    <w:rsid w:val="00A7558D"/>
    <w:rsid w:val="00A76299"/>
    <w:rsid w:val="00A76873"/>
    <w:rsid w:val="00A7715F"/>
    <w:rsid w:val="00A80EE4"/>
    <w:rsid w:val="00A81983"/>
    <w:rsid w:val="00A83C3F"/>
    <w:rsid w:val="00A8635B"/>
    <w:rsid w:val="00A86588"/>
    <w:rsid w:val="00A86F50"/>
    <w:rsid w:val="00A8767C"/>
    <w:rsid w:val="00A90010"/>
    <w:rsid w:val="00A90045"/>
    <w:rsid w:val="00A906A2"/>
    <w:rsid w:val="00A90AFD"/>
    <w:rsid w:val="00A90B31"/>
    <w:rsid w:val="00A91389"/>
    <w:rsid w:val="00A914D6"/>
    <w:rsid w:val="00A917B3"/>
    <w:rsid w:val="00A92ECC"/>
    <w:rsid w:val="00A97C80"/>
    <w:rsid w:val="00AA10CD"/>
    <w:rsid w:val="00AA2563"/>
    <w:rsid w:val="00AA277E"/>
    <w:rsid w:val="00AA4F36"/>
    <w:rsid w:val="00AA6C35"/>
    <w:rsid w:val="00AA727D"/>
    <w:rsid w:val="00AA7B0F"/>
    <w:rsid w:val="00AB048A"/>
    <w:rsid w:val="00AB0577"/>
    <w:rsid w:val="00AB079E"/>
    <w:rsid w:val="00AB0C63"/>
    <w:rsid w:val="00AB1A5F"/>
    <w:rsid w:val="00AB233A"/>
    <w:rsid w:val="00AB2617"/>
    <w:rsid w:val="00AB3C79"/>
    <w:rsid w:val="00AB41B0"/>
    <w:rsid w:val="00AB4B51"/>
    <w:rsid w:val="00AB79C5"/>
    <w:rsid w:val="00AC0A5D"/>
    <w:rsid w:val="00AC0BD3"/>
    <w:rsid w:val="00AC0CA0"/>
    <w:rsid w:val="00AC1A2E"/>
    <w:rsid w:val="00AC2549"/>
    <w:rsid w:val="00AC2BF8"/>
    <w:rsid w:val="00AC31A2"/>
    <w:rsid w:val="00AC5B97"/>
    <w:rsid w:val="00AC6356"/>
    <w:rsid w:val="00AC677E"/>
    <w:rsid w:val="00AC79CC"/>
    <w:rsid w:val="00AD1356"/>
    <w:rsid w:val="00AD150C"/>
    <w:rsid w:val="00AD212B"/>
    <w:rsid w:val="00AD2D14"/>
    <w:rsid w:val="00AD46BA"/>
    <w:rsid w:val="00AD5E26"/>
    <w:rsid w:val="00AD6185"/>
    <w:rsid w:val="00AD66C7"/>
    <w:rsid w:val="00AE16E3"/>
    <w:rsid w:val="00AE22A2"/>
    <w:rsid w:val="00AE2CFD"/>
    <w:rsid w:val="00AE3363"/>
    <w:rsid w:val="00AE4DB6"/>
    <w:rsid w:val="00AE4F07"/>
    <w:rsid w:val="00AE5117"/>
    <w:rsid w:val="00AF1A77"/>
    <w:rsid w:val="00AF1EBF"/>
    <w:rsid w:val="00AF220E"/>
    <w:rsid w:val="00AF2DAB"/>
    <w:rsid w:val="00AF63B7"/>
    <w:rsid w:val="00AF7714"/>
    <w:rsid w:val="00AF78AB"/>
    <w:rsid w:val="00AF7DDE"/>
    <w:rsid w:val="00B02ADD"/>
    <w:rsid w:val="00B04AAB"/>
    <w:rsid w:val="00B04EF5"/>
    <w:rsid w:val="00B05D00"/>
    <w:rsid w:val="00B06318"/>
    <w:rsid w:val="00B078F2"/>
    <w:rsid w:val="00B10CC7"/>
    <w:rsid w:val="00B114BD"/>
    <w:rsid w:val="00B12DAD"/>
    <w:rsid w:val="00B13B8A"/>
    <w:rsid w:val="00B14527"/>
    <w:rsid w:val="00B150BC"/>
    <w:rsid w:val="00B1688D"/>
    <w:rsid w:val="00B178B9"/>
    <w:rsid w:val="00B21954"/>
    <w:rsid w:val="00B21AA7"/>
    <w:rsid w:val="00B21C76"/>
    <w:rsid w:val="00B23DC0"/>
    <w:rsid w:val="00B23EDA"/>
    <w:rsid w:val="00B26104"/>
    <w:rsid w:val="00B27517"/>
    <w:rsid w:val="00B317E9"/>
    <w:rsid w:val="00B3212E"/>
    <w:rsid w:val="00B32F7F"/>
    <w:rsid w:val="00B33594"/>
    <w:rsid w:val="00B35492"/>
    <w:rsid w:val="00B35856"/>
    <w:rsid w:val="00B3597A"/>
    <w:rsid w:val="00B35FDF"/>
    <w:rsid w:val="00B36BCD"/>
    <w:rsid w:val="00B379CD"/>
    <w:rsid w:val="00B4003E"/>
    <w:rsid w:val="00B41212"/>
    <w:rsid w:val="00B423A8"/>
    <w:rsid w:val="00B42666"/>
    <w:rsid w:val="00B428FE"/>
    <w:rsid w:val="00B42F6F"/>
    <w:rsid w:val="00B45F84"/>
    <w:rsid w:val="00B46E76"/>
    <w:rsid w:val="00B47316"/>
    <w:rsid w:val="00B50587"/>
    <w:rsid w:val="00B523D7"/>
    <w:rsid w:val="00B55A1B"/>
    <w:rsid w:val="00B569AB"/>
    <w:rsid w:val="00B56F8B"/>
    <w:rsid w:val="00B600DD"/>
    <w:rsid w:val="00B60BFA"/>
    <w:rsid w:val="00B61D33"/>
    <w:rsid w:val="00B62458"/>
    <w:rsid w:val="00B63B0A"/>
    <w:rsid w:val="00B64413"/>
    <w:rsid w:val="00B65B2E"/>
    <w:rsid w:val="00B67A8E"/>
    <w:rsid w:val="00B74C54"/>
    <w:rsid w:val="00B752ED"/>
    <w:rsid w:val="00B76AEE"/>
    <w:rsid w:val="00B80FCE"/>
    <w:rsid w:val="00B8361E"/>
    <w:rsid w:val="00B83D88"/>
    <w:rsid w:val="00B8687E"/>
    <w:rsid w:val="00B921EA"/>
    <w:rsid w:val="00B924D2"/>
    <w:rsid w:val="00B93A1F"/>
    <w:rsid w:val="00B973A0"/>
    <w:rsid w:val="00BA3453"/>
    <w:rsid w:val="00BA4056"/>
    <w:rsid w:val="00BA4B83"/>
    <w:rsid w:val="00BA7BFD"/>
    <w:rsid w:val="00BB02FD"/>
    <w:rsid w:val="00BB0687"/>
    <w:rsid w:val="00BB097F"/>
    <w:rsid w:val="00BB1F81"/>
    <w:rsid w:val="00BB2DB4"/>
    <w:rsid w:val="00BB476A"/>
    <w:rsid w:val="00BB49CB"/>
    <w:rsid w:val="00BB63B1"/>
    <w:rsid w:val="00BB6749"/>
    <w:rsid w:val="00BB7563"/>
    <w:rsid w:val="00BC0C39"/>
    <w:rsid w:val="00BC2B9F"/>
    <w:rsid w:val="00BC36A6"/>
    <w:rsid w:val="00BC46C7"/>
    <w:rsid w:val="00BC4C63"/>
    <w:rsid w:val="00BC5804"/>
    <w:rsid w:val="00BD0420"/>
    <w:rsid w:val="00BD067C"/>
    <w:rsid w:val="00BD0B78"/>
    <w:rsid w:val="00BD2526"/>
    <w:rsid w:val="00BD277E"/>
    <w:rsid w:val="00BD29E8"/>
    <w:rsid w:val="00BD2A5F"/>
    <w:rsid w:val="00BD304F"/>
    <w:rsid w:val="00BD33EE"/>
    <w:rsid w:val="00BD347D"/>
    <w:rsid w:val="00BD5ADA"/>
    <w:rsid w:val="00BD7698"/>
    <w:rsid w:val="00BD7BB4"/>
    <w:rsid w:val="00BE00A3"/>
    <w:rsid w:val="00BE1087"/>
    <w:rsid w:val="00BE17D8"/>
    <w:rsid w:val="00BE213B"/>
    <w:rsid w:val="00BE2BF9"/>
    <w:rsid w:val="00BE460F"/>
    <w:rsid w:val="00BE5915"/>
    <w:rsid w:val="00BF19E6"/>
    <w:rsid w:val="00BF32A7"/>
    <w:rsid w:val="00BF42A2"/>
    <w:rsid w:val="00BF52D1"/>
    <w:rsid w:val="00BF59E8"/>
    <w:rsid w:val="00BF5F83"/>
    <w:rsid w:val="00BF6EBD"/>
    <w:rsid w:val="00C00058"/>
    <w:rsid w:val="00C03529"/>
    <w:rsid w:val="00C03C9C"/>
    <w:rsid w:val="00C04C82"/>
    <w:rsid w:val="00C056BC"/>
    <w:rsid w:val="00C057DC"/>
    <w:rsid w:val="00C10E68"/>
    <w:rsid w:val="00C119CA"/>
    <w:rsid w:val="00C11F62"/>
    <w:rsid w:val="00C120CC"/>
    <w:rsid w:val="00C12A8D"/>
    <w:rsid w:val="00C1442D"/>
    <w:rsid w:val="00C1460B"/>
    <w:rsid w:val="00C1496A"/>
    <w:rsid w:val="00C17C1A"/>
    <w:rsid w:val="00C17F98"/>
    <w:rsid w:val="00C20036"/>
    <w:rsid w:val="00C20E76"/>
    <w:rsid w:val="00C21B03"/>
    <w:rsid w:val="00C22DD0"/>
    <w:rsid w:val="00C22F24"/>
    <w:rsid w:val="00C2316D"/>
    <w:rsid w:val="00C27C6E"/>
    <w:rsid w:val="00C30794"/>
    <w:rsid w:val="00C30D36"/>
    <w:rsid w:val="00C324C5"/>
    <w:rsid w:val="00C33480"/>
    <w:rsid w:val="00C345FE"/>
    <w:rsid w:val="00C37FC8"/>
    <w:rsid w:val="00C41771"/>
    <w:rsid w:val="00C429DB"/>
    <w:rsid w:val="00C43117"/>
    <w:rsid w:val="00C45773"/>
    <w:rsid w:val="00C46161"/>
    <w:rsid w:val="00C463F7"/>
    <w:rsid w:val="00C47542"/>
    <w:rsid w:val="00C50F1D"/>
    <w:rsid w:val="00C50F7A"/>
    <w:rsid w:val="00C5150A"/>
    <w:rsid w:val="00C5268D"/>
    <w:rsid w:val="00C552B3"/>
    <w:rsid w:val="00C55799"/>
    <w:rsid w:val="00C60C1F"/>
    <w:rsid w:val="00C60F0C"/>
    <w:rsid w:val="00C6288D"/>
    <w:rsid w:val="00C62B48"/>
    <w:rsid w:val="00C62C1B"/>
    <w:rsid w:val="00C63273"/>
    <w:rsid w:val="00C6511A"/>
    <w:rsid w:val="00C663BC"/>
    <w:rsid w:val="00C67843"/>
    <w:rsid w:val="00C70221"/>
    <w:rsid w:val="00C7300B"/>
    <w:rsid w:val="00C738A1"/>
    <w:rsid w:val="00C73CA1"/>
    <w:rsid w:val="00C745EA"/>
    <w:rsid w:val="00C7465F"/>
    <w:rsid w:val="00C76027"/>
    <w:rsid w:val="00C76A04"/>
    <w:rsid w:val="00C805C9"/>
    <w:rsid w:val="00C828C1"/>
    <w:rsid w:val="00C83ADD"/>
    <w:rsid w:val="00C83B98"/>
    <w:rsid w:val="00C854D0"/>
    <w:rsid w:val="00C8770C"/>
    <w:rsid w:val="00C91CFB"/>
    <w:rsid w:val="00C931B5"/>
    <w:rsid w:val="00C93DB5"/>
    <w:rsid w:val="00C942AB"/>
    <w:rsid w:val="00C95037"/>
    <w:rsid w:val="00C95E7A"/>
    <w:rsid w:val="00C95F72"/>
    <w:rsid w:val="00C974CA"/>
    <w:rsid w:val="00CA1679"/>
    <w:rsid w:val="00CA2232"/>
    <w:rsid w:val="00CA2590"/>
    <w:rsid w:val="00CA3725"/>
    <w:rsid w:val="00CA6527"/>
    <w:rsid w:val="00CA6D19"/>
    <w:rsid w:val="00CB039F"/>
    <w:rsid w:val="00CB1693"/>
    <w:rsid w:val="00CB30AE"/>
    <w:rsid w:val="00CB5CB6"/>
    <w:rsid w:val="00CB6762"/>
    <w:rsid w:val="00CB67AE"/>
    <w:rsid w:val="00CC1365"/>
    <w:rsid w:val="00CC1C7F"/>
    <w:rsid w:val="00CC1DF3"/>
    <w:rsid w:val="00CC1E78"/>
    <w:rsid w:val="00CC4637"/>
    <w:rsid w:val="00CC6C66"/>
    <w:rsid w:val="00CC7294"/>
    <w:rsid w:val="00CD2E05"/>
    <w:rsid w:val="00CD35D7"/>
    <w:rsid w:val="00CD3D46"/>
    <w:rsid w:val="00CD60B7"/>
    <w:rsid w:val="00CD62F6"/>
    <w:rsid w:val="00CD771E"/>
    <w:rsid w:val="00CE07E9"/>
    <w:rsid w:val="00CE0E6E"/>
    <w:rsid w:val="00CE1F18"/>
    <w:rsid w:val="00CE2900"/>
    <w:rsid w:val="00CE418A"/>
    <w:rsid w:val="00CE493B"/>
    <w:rsid w:val="00CE4AC1"/>
    <w:rsid w:val="00CE5833"/>
    <w:rsid w:val="00CE6F99"/>
    <w:rsid w:val="00CE7A87"/>
    <w:rsid w:val="00CF0337"/>
    <w:rsid w:val="00CF16DA"/>
    <w:rsid w:val="00CF1FA7"/>
    <w:rsid w:val="00CF483A"/>
    <w:rsid w:val="00CF53E5"/>
    <w:rsid w:val="00CF58EE"/>
    <w:rsid w:val="00CF6A1F"/>
    <w:rsid w:val="00CF6A85"/>
    <w:rsid w:val="00CF6AEF"/>
    <w:rsid w:val="00D0118A"/>
    <w:rsid w:val="00D03755"/>
    <w:rsid w:val="00D0686C"/>
    <w:rsid w:val="00D11985"/>
    <w:rsid w:val="00D11E5A"/>
    <w:rsid w:val="00D15C88"/>
    <w:rsid w:val="00D15EAE"/>
    <w:rsid w:val="00D1638E"/>
    <w:rsid w:val="00D17E0A"/>
    <w:rsid w:val="00D2011F"/>
    <w:rsid w:val="00D2058E"/>
    <w:rsid w:val="00D20D0A"/>
    <w:rsid w:val="00D220FE"/>
    <w:rsid w:val="00D22497"/>
    <w:rsid w:val="00D238FF"/>
    <w:rsid w:val="00D25F51"/>
    <w:rsid w:val="00D27E62"/>
    <w:rsid w:val="00D304B7"/>
    <w:rsid w:val="00D3085B"/>
    <w:rsid w:val="00D337C1"/>
    <w:rsid w:val="00D339CC"/>
    <w:rsid w:val="00D33D63"/>
    <w:rsid w:val="00D345BC"/>
    <w:rsid w:val="00D36B03"/>
    <w:rsid w:val="00D41012"/>
    <w:rsid w:val="00D4151B"/>
    <w:rsid w:val="00D41A4D"/>
    <w:rsid w:val="00D42B4C"/>
    <w:rsid w:val="00D4325D"/>
    <w:rsid w:val="00D43F9C"/>
    <w:rsid w:val="00D451AB"/>
    <w:rsid w:val="00D4551C"/>
    <w:rsid w:val="00D46611"/>
    <w:rsid w:val="00D51184"/>
    <w:rsid w:val="00D51507"/>
    <w:rsid w:val="00D520E2"/>
    <w:rsid w:val="00D53280"/>
    <w:rsid w:val="00D53D2A"/>
    <w:rsid w:val="00D549D6"/>
    <w:rsid w:val="00D54A06"/>
    <w:rsid w:val="00D54B78"/>
    <w:rsid w:val="00D5564D"/>
    <w:rsid w:val="00D5599D"/>
    <w:rsid w:val="00D56121"/>
    <w:rsid w:val="00D56D3B"/>
    <w:rsid w:val="00D570BA"/>
    <w:rsid w:val="00D576E5"/>
    <w:rsid w:val="00D62F40"/>
    <w:rsid w:val="00D63EB5"/>
    <w:rsid w:val="00D65717"/>
    <w:rsid w:val="00D657D1"/>
    <w:rsid w:val="00D66BBA"/>
    <w:rsid w:val="00D701C4"/>
    <w:rsid w:val="00D7052B"/>
    <w:rsid w:val="00D709E4"/>
    <w:rsid w:val="00D7229A"/>
    <w:rsid w:val="00D73B65"/>
    <w:rsid w:val="00D7473F"/>
    <w:rsid w:val="00D7507D"/>
    <w:rsid w:val="00D76BBE"/>
    <w:rsid w:val="00D8047A"/>
    <w:rsid w:val="00D80E7A"/>
    <w:rsid w:val="00D814B8"/>
    <w:rsid w:val="00D81635"/>
    <w:rsid w:val="00D818A4"/>
    <w:rsid w:val="00D81A3C"/>
    <w:rsid w:val="00D82073"/>
    <w:rsid w:val="00D8260A"/>
    <w:rsid w:val="00D846F6"/>
    <w:rsid w:val="00D8496E"/>
    <w:rsid w:val="00D8539B"/>
    <w:rsid w:val="00D861B0"/>
    <w:rsid w:val="00D8762E"/>
    <w:rsid w:val="00D90099"/>
    <w:rsid w:val="00D90138"/>
    <w:rsid w:val="00D90223"/>
    <w:rsid w:val="00D90B4F"/>
    <w:rsid w:val="00D90EEB"/>
    <w:rsid w:val="00D92824"/>
    <w:rsid w:val="00D93CE4"/>
    <w:rsid w:val="00D94567"/>
    <w:rsid w:val="00D967B3"/>
    <w:rsid w:val="00DA0D7C"/>
    <w:rsid w:val="00DA1064"/>
    <w:rsid w:val="00DA1E9C"/>
    <w:rsid w:val="00DA2CD7"/>
    <w:rsid w:val="00DA343C"/>
    <w:rsid w:val="00DA3BA4"/>
    <w:rsid w:val="00DA48BC"/>
    <w:rsid w:val="00DA522B"/>
    <w:rsid w:val="00DA57EC"/>
    <w:rsid w:val="00DA5D92"/>
    <w:rsid w:val="00DA7664"/>
    <w:rsid w:val="00DB0609"/>
    <w:rsid w:val="00DB12B3"/>
    <w:rsid w:val="00DB1333"/>
    <w:rsid w:val="00DB1348"/>
    <w:rsid w:val="00DB1BBB"/>
    <w:rsid w:val="00DB411A"/>
    <w:rsid w:val="00DB4C7B"/>
    <w:rsid w:val="00DB54D5"/>
    <w:rsid w:val="00DB6A3F"/>
    <w:rsid w:val="00DB7325"/>
    <w:rsid w:val="00DC007F"/>
    <w:rsid w:val="00DC0458"/>
    <w:rsid w:val="00DC1E99"/>
    <w:rsid w:val="00DC1F2B"/>
    <w:rsid w:val="00DC2813"/>
    <w:rsid w:val="00DC2A39"/>
    <w:rsid w:val="00DC3D77"/>
    <w:rsid w:val="00DC5545"/>
    <w:rsid w:val="00DC70CF"/>
    <w:rsid w:val="00DD0A63"/>
    <w:rsid w:val="00DD0E30"/>
    <w:rsid w:val="00DD1C54"/>
    <w:rsid w:val="00DD4ED8"/>
    <w:rsid w:val="00DD6AEE"/>
    <w:rsid w:val="00DE0E35"/>
    <w:rsid w:val="00DE2349"/>
    <w:rsid w:val="00DE29A4"/>
    <w:rsid w:val="00DE2D6B"/>
    <w:rsid w:val="00DE3FE2"/>
    <w:rsid w:val="00DE4E6C"/>
    <w:rsid w:val="00DE5C83"/>
    <w:rsid w:val="00DF0449"/>
    <w:rsid w:val="00DF0E49"/>
    <w:rsid w:val="00DF2270"/>
    <w:rsid w:val="00DF28EE"/>
    <w:rsid w:val="00DF3794"/>
    <w:rsid w:val="00DF49AC"/>
    <w:rsid w:val="00DF4AC7"/>
    <w:rsid w:val="00DF63A5"/>
    <w:rsid w:val="00DF63E3"/>
    <w:rsid w:val="00DF640E"/>
    <w:rsid w:val="00DF6821"/>
    <w:rsid w:val="00DF722F"/>
    <w:rsid w:val="00E03B67"/>
    <w:rsid w:val="00E051A5"/>
    <w:rsid w:val="00E0549B"/>
    <w:rsid w:val="00E060EE"/>
    <w:rsid w:val="00E0621F"/>
    <w:rsid w:val="00E07F1F"/>
    <w:rsid w:val="00E1227A"/>
    <w:rsid w:val="00E14C6C"/>
    <w:rsid w:val="00E16C12"/>
    <w:rsid w:val="00E177CD"/>
    <w:rsid w:val="00E220B5"/>
    <w:rsid w:val="00E22529"/>
    <w:rsid w:val="00E23796"/>
    <w:rsid w:val="00E25167"/>
    <w:rsid w:val="00E25208"/>
    <w:rsid w:val="00E253E5"/>
    <w:rsid w:val="00E25BFE"/>
    <w:rsid w:val="00E2717A"/>
    <w:rsid w:val="00E27D32"/>
    <w:rsid w:val="00E3064B"/>
    <w:rsid w:val="00E30798"/>
    <w:rsid w:val="00E30D12"/>
    <w:rsid w:val="00E32965"/>
    <w:rsid w:val="00E334DA"/>
    <w:rsid w:val="00E364FC"/>
    <w:rsid w:val="00E37635"/>
    <w:rsid w:val="00E37C74"/>
    <w:rsid w:val="00E40B39"/>
    <w:rsid w:val="00E41CAA"/>
    <w:rsid w:val="00E435B1"/>
    <w:rsid w:val="00E43A1C"/>
    <w:rsid w:val="00E4446A"/>
    <w:rsid w:val="00E5080C"/>
    <w:rsid w:val="00E5699E"/>
    <w:rsid w:val="00E57C93"/>
    <w:rsid w:val="00E57EA5"/>
    <w:rsid w:val="00E60BBA"/>
    <w:rsid w:val="00E61041"/>
    <w:rsid w:val="00E63CA4"/>
    <w:rsid w:val="00E64199"/>
    <w:rsid w:val="00E677E9"/>
    <w:rsid w:val="00E67982"/>
    <w:rsid w:val="00E67C1B"/>
    <w:rsid w:val="00E71602"/>
    <w:rsid w:val="00E72746"/>
    <w:rsid w:val="00E7328B"/>
    <w:rsid w:val="00E7353E"/>
    <w:rsid w:val="00E737B8"/>
    <w:rsid w:val="00E73F76"/>
    <w:rsid w:val="00E74CF7"/>
    <w:rsid w:val="00E74DC3"/>
    <w:rsid w:val="00E7587E"/>
    <w:rsid w:val="00E75CB6"/>
    <w:rsid w:val="00E778CC"/>
    <w:rsid w:val="00E77EBE"/>
    <w:rsid w:val="00E815B4"/>
    <w:rsid w:val="00E8426B"/>
    <w:rsid w:val="00E8546C"/>
    <w:rsid w:val="00E85EE8"/>
    <w:rsid w:val="00E868DA"/>
    <w:rsid w:val="00E877E2"/>
    <w:rsid w:val="00E92336"/>
    <w:rsid w:val="00E92A80"/>
    <w:rsid w:val="00E932F2"/>
    <w:rsid w:val="00E9382F"/>
    <w:rsid w:val="00E9639D"/>
    <w:rsid w:val="00E965C9"/>
    <w:rsid w:val="00E97C8F"/>
    <w:rsid w:val="00E97D86"/>
    <w:rsid w:val="00EA1150"/>
    <w:rsid w:val="00EA3D8F"/>
    <w:rsid w:val="00EA3E7F"/>
    <w:rsid w:val="00EA4C91"/>
    <w:rsid w:val="00EA4D1E"/>
    <w:rsid w:val="00EA5852"/>
    <w:rsid w:val="00EB0696"/>
    <w:rsid w:val="00EB089B"/>
    <w:rsid w:val="00EB151D"/>
    <w:rsid w:val="00EB5A3D"/>
    <w:rsid w:val="00EB5E2E"/>
    <w:rsid w:val="00EB64D7"/>
    <w:rsid w:val="00EB737F"/>
    <w:rsid w:val="00EC0F1A"/>
    <w:rsid w:val="00EC1231"/>
    <w:rsid w:val="00EC3D37"/>
    <w:rsid w:val="00EC3F4A"/>
    <w:rsid w:val="00EC4107"/>
    <w:rsid w:val="00EC4761"/>
    <w:rsid w:val="00EC50FB"/>
    <w:rsid w:val="00ED1CE0"/>
    <w:rsid w:val="00ED2B38"/>
    <w:rsid w:val="00ED4204"/>
    <w:rsid w:val="00ED43FC"/>
    <w:rsid w:val="00ED516D"/>
    <w:rsid w:val="00ED58DC"/>
    <w:rsid w:val="00ED6279"/>
    <w:rsid w:val="00EE0558"/>
    <w:rsid w:val="00EE1271"/>
    <w:rsid w:val="00EE34A0"/>
    <w:rsid w:val="00EE4566"/>
    <w:rsid w:val="00EF0647"/>
    <w:rsid w:val="00EF0848"/>
    <w:rsid w:val="00EF1360"/>
    <w:rsid w:val="00EF181C"/>
    <w:rsid w:val="00EF193F"/>
    <w:rsid w:val="00EF3220"/>
    <w:rsid w:val="00EF3ADE"/>
    <w:rsid w:val="00EF4DDE"/>
    <w:rsid w:val="00EF7519"/>
    <w:rsid w:val="00EF7CA9"/>
    <w:rsid w:val="00F01C32"/>
    <w:rsid w:val="00F0210B"/>
    <w:rsid w:val="00F02291"/>
    <w:rsid w:val="00F0239F"/>
    <w:rsid w:val="00F03247"/>
    <w:rsid w:val="00F0483D"/>
    <w:rsid w:val="00F060AD"/>
    <w:rsid w:val="00F07D8B"/>
    <w:rsid w:val="00F125D9"/>
    <w:rsid w:val="00F129EC"/>
    <w:rsid w:val="00F13D5F"/>
    <w:rsid w:val="00F14995"/>
    <w:rsid w:val="00F14B74"/>
    <w:rsid w:val="00F153B2"/>
    <w:rsid w:val="00F15412"/>
    <w:rsid w:val="00F171A6"/>
    <w:rsid w:val="00F17644"/>
    <w:rsid w:val="00F200C1"/>
    <w:rsid w:val="00F208C3"/>
    <w:rsid w:val="00F21F3F"/>
    <w:rsid w:val="00F23126"/>
    <w:rsid w:val="00F23FB6"/>
    <w:rsid w:val="00F24A4E"/>
    <w:rsid w:val="00F24DB8"/>
    <w:rsid w:val="00F26D1C"/>
    <w:rsid w:val="00F26F1F"/>
    <w:rsid w:val="00F26F96"/>
    <w:rsid w:val="00F27189"/>
    <w:rsid w:val="00F30658"/>
    <w:rsid w:val="00F30808"/>
    <w:rsid w:val="00F40004"/>
    <w:rsid w:val="00F4130A"/>
    <w:rsid w:val="00F43588"/>
    <w:rsid w:val="00F43851"/>
    <w:rsid w:val="00F438B8"/>
    <w:rsid w:val="00F43BB2"/>
    <w:rsid w:val="00F4431A"/>
    <w:rsid w:val="00F4515F"/>
    <w:rsid w:val="00F45EE8"/>
    <w:rsid w:val="00F521DB"/>
    <w:rsid w:val="00F52EA5"/>
    <w:rsid w:val="00F53805"/>
    <w:rsid w:val="00F5453E"/>
    <w:rsid w:val="00F54DC6"/>
    <w:rsid w:val="00F55D2E"/>
    <w:rsid w:val="00F56712"/>
    <w:rsid w:val="00F6091C"/>
    <w:rsid w:val="00F610E3"/>
    <w:rsid w:val="00F61622"/>
    <w:rsid w:val="00F6420E"/>
    <w:rsid w:val="00F669C1"/>
    <w:rsid w:val="00F67AF9"/>
    <w:rsid w:val="00F70755"/>
    <w:rsid w:val="00F70A1B"/>
    <w:rsid w:val="00F70A8B"/>
    <w:rsid w:val="00F71562"/>
    <w:rsid w:val="00F723A6"/>
    <w:rsid w:val="00F731B3"/>
    <w:rsid w:val="00F74DC3"/>
    <w:rsid w:val="00F77DDA"/>
    <w:rsid w:val="00F80654"/>
    <w:rsid w:val="00F80811"/>
    <w:rsid w:val="00F8082F"/>
    <w:rsid w:val="00F81BC7"/>
    <w:rsid w:val="00F841F7"/>
    <w:rsid w:val="00F84F90"/>
    <w:rsid w:val="00F879FF"/>
    <w:rsid w:val="00F9018C"/>
    <w:rsid w:val="00F90E9E"/>
    <w:rsid w:val="00F9119F"/>
    <w:rsid w:val="00F91898"/>
    <w:rsid w:val="00F93A18"/>
    <w:rsid w:val="00F94155"/>
    <w:rsid w:val="00F9436A"/>
    <w:rsid w:val="00F9446B"/>
    <w:rsid w:val="00F9477D"/>
    <w:rsid w:val="00F948CE"/>
    <w:rsid w:val="00F94DC8"/>
    <w:rsid w:val="00F963D6"/>
    <w:rsid w:val="00F97887"/>
    <w:rsid w:val="00FA0019"/>
    <w:rsid w:val="00FA0A46"/>
    <w:rsid w:val="00FA10FB"/>
    <w:rsid w:val="00FA2AEF"/>
    <w:rsid w:val="00FA5001"/>
    <w:rsid w:val="00FA5876"/>
    <w:rsid w:val="00FA7CCF"/>
    <w:rsid w:val="00FB156E"/>
    <w:rsid w:val="00FB1A24"/>
    <w:rsid w:val="00FB1A46"/>
    <w:rsid w:val="00FB1D35"/>
    <w:rsid w:val="00FB2D3D"/>
    <w:rsid w:val="00FB2DBE"/>
    <w:rsid w:val="00FB301A"/>
    <w:rsid w:val="00FB3700"/>
    <w:rsid w:val="00FB3909"/>
    <w:rsid w:val="00FB46C1"/>
    <w:rsid w:val="00FB5056"/>
    <w:rsid w:val="00FB55FA"/>
    <w:rsid w:val="00FB7B1E"/>
    <w:rsid w:val="00FB7C7E"/>
    <w:rsid w:val="00FC18B4"/>
    <w:rsid w:val="00FC1B7F"/>
    <w:rsid w:val="00FC200D"/>
    <w:rsid w:val="00FC499B"/>
    <w:rsid w:val="00FC4D5C"/>
    <w:rsid w:val="00FC501F"/>
    <w:rsid w:val="00FC56AA"/>
    <w:rsid w:val="00FC5DF8"/>
    <w:rsid w:val="00FC6651"/>
    <w:rsid w:val="00FC6BC8"/>
    <w:rsid w:val="00FC6BFF"/>
    <w:rsid w:val="00FC6EDD"/>
    <w:rsid w:val="00FD2EF7"/>
    <w:rsid w:val="00FD34E0"/>
    <w:rsid w:val="00FD36E3"/>
    <w:rsid w:val="00FE11E6"/>
    <w:rsid w:val="00FE31CC"/>
    <w:rsid w:val="00FE3273"/>
    <w:rsid w:val="00FE4421"/>
    <w:rsid w:val="00FE5327"/>
    <w:rsid w:val="00FE64CF"/>
    <w:rsid w:val="00FF059A"/>
    <w:rsid w:val="00FF0A5D"/>
    <w:rsid w:val="00FF0B4A"/>
    <w:rsid w:val="00FF0D68"/>
    <w:rsid w:val="00FF169C"/>
    <w:rsid w:val="00FF341C"/>
    <w:rsid w:val="00FF5E25"/>
    <w:rsid w:val="00FF797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7EECF"/>
  <w15:docId w15:val="{F6A56115-7352-4E9C-8B7B-662A1BB6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93E"/>
    <w:pPr>
      <w:spacing w:line="240" w:lineRule="atLeast"/>
    </w:pPr>
    <w:rPr>
      <w:lang w:val="es-ES" w:eastAsia="es-ES"/>
    </w:rPr>
  </w:style>
  <w:style w:type="paragraph" w:styleId="Heading1">
    <w:name w:val="heading 1"/>
    <w:aliases w:val="Table_G"/>
    <w:basedOn w:val="SingleTxtG"/>
    <w:next w:val="SingleTxtG"/>
    <w:qFormat/>
    <w:rsid w:val="007F4281"/>
    <w:pPr>
      <w:keepNext/>
      <w:spacing w:after="0" w:line="240" w:lineRule="auto"/>
      <w:outlineLvl w:val="0"/>
    </w:pPr>
    <w:rPr>
      <w:rFonts w:cs="Arial"/>
      <w:bCs/>
      <w:szCs w:val="32"/>
    </w:rPr>
  </w:style>
  <w:style w:type="paragraph" w:styleId="Heading2">
    <w:name w:val="heading 2"/>
    <w:basedOn w:val="Normal"/>
    <w:next w:val="Normal"/>
    <w:semiHidden/>
    <w:qFormat/>
    <w:rsid w:val="008C2B1A"/>
    <w:pPr>
      <w:keepNext/>
      <w:outlineLvl w:val="1"/>
    </w:pPr>
    <w:rPr>
      <w:rFonts w:cs="Arial"/>
      <w:bCs/>
      <w:iCs/>
      <w:szCs w:val="28"/>
    </w:rPr>
  </w:style>
  <w:style w:type="paragraph" w:styleId="Heading3">
    <w:name w:val="heading 3"/>
    <w:basedOn w:val="Normal"/>
    <w:next w:val="Normal"/>
    <w:semiHidden/>
    <w:qFormat/>
    <w:rsid w:val="008C2B1A"/>
    <w:pPr>
      <w:keepNext/>
      <w:spacing w:before="240" w:after="60"/>
      <w:outlineLvl w:val="2"/>
    </w:pPr>
    <w:rPr>
      <w:rFonts w:ascii="Arial" w:hAnsi="Arial" w:cs="Arial"/>
      <w:b/>
      <w:bCs/>
      <w:sz w:val="26"/>
      <w:szCs w:val="26"/>
    </w:rPr>
  </w:style>
  <w:style w:type="paragraph" w:styleId="Heading4">
    <w:name w:val="heading 4"/>
    <w:basedOn w:val="Normal"/>
    <w:next w:val="Normal"/>
    <w:semiHidden/>
    <w:qFormat/>
    <w:rsid w:val="008C2B1A"/>
    <w:pPr>
      <w:keepNext/>
      <w:spacing w:before="240" w:after="60"/>
      <w:outlineLvl w:val="3"/>
    </w:pPr>
    <w:rPr>
      <w:b/>
      <w:bCs/>
      <w:sz w:val="28"/>
      <w:szCs w:val="28"/>
    </w:rPr>
  </w:style>
  <w:style w:type="paragraph" w:styleId="Heading5">
    <w:name w:val="heading 5"/>
    <w:basedOn w:val="Normal"/>
    <w:next w:val="Normal"/>
    <w:semiHidden/>
    <w:qFormat/>
    <w:rsid w:val="008C2B1A"/>
    <w:pPr>
      <w:spacing w:before="240" w:after="60"/>
      <w:outlineLvl w:val="4"/>
    </w:pPr>
    <w:rPr>
      <w:b/>
      <w:bCs/>
      <w:i/>
      <w:iCs/>
      <w:sz w:val="26"/>
      <w:szCs w:val="26"/>
    </w:rPr>
  </w:style>
  <w:style w:type="paragraph" w:styleId="Heading6">
    <w:name w:val="heading 6"/>
    <w:basedOn w:val="Normal"/>
    <w:next w:val="Normal"/>
    <w:semiHidden/>
    <w:qFormat/>
    <w:rsid w:val="008C2B1A"/>
    <w:pPr>
      <w:spacing w:before="240" w:after="60"/>
      <w:outlineLvl w:val="5"/>
    </w:pPr>
    <w:rPr>
      <w:b/>
      <w:bCs/>
      <w:sz w:val="22"/>
      <w:szCs w:val="22"/>
    </w:rPr>
  </w:style>
  <w:style w:type="paragraph" w:styleId="Heading7">
    <w:name w:val="heading 7"/>
    <w:basedOn w:val="Normal"/>
    <w:next w:val="Normal"/>
    <w:semiHidden/>
    <w:qFormat/>
    <w:rsid w:val="008C2B1A"/>
    <w:pPr>
      <w:spacing w:before="240" w:after="60"/>
      <w:outlineLvl w:val="6"/>
    </w:pPr>
    <w:rPr>
      <w:sz w:val="24"/>
      <w:szCs w:val="24"/>
    </w:rPr>
  </w:style>
  <w:style w:type="paragraph" w:styleId="Heading8">
    <w:name w:val="heading 8"/>
    <w:basedOn w:val="Normal"/>
    <w:next w:val="Normal"/>
    <w:semiHidden/>
    <w:qFormat/>
    <w:rsid w:val="008C2B1A"/>
    <w:pPr>
      <w:spacing w:before="240" w:after="60"/>
      <w:outlineLvl w:val="7"/>
    </w:pPr>
    <w:rPr>
      <w:i/>
      <w:iCs/>
      <w:sz w:val="24"/>
      <w:szCs w:val="24"/>
    </w:rPr>
  </w:style>
  <w:style w:type="paragraph" w:styleId="Heading9">
    <w:name w:val="heading 9"/>
    <w:basedOn w:val="Normal"/>
    <w:next w:val="Normal"/>
    <w:semiHidden/>
    <w:qFormat/>
    <w:rsid w:val="008C2B1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number,ftref,Footnotes refss,Style 10,referencia nota al pie,BVI fnr,Footnote text,4_Footnote text,callout,Fago Fußnotenzeichen,16 Point,Superscript 6 Point,Footnote,Footnote symbol,Appel note de bas de p.,f,Ref"/>
    <w:basedOn w:val="DefaultParagraphFont"/>
    <w:qFormat/>
    <w:rsid w:val="008C2B1A"/>
    <w:rPr>
      <w:rFonts w:ascii="Times New Roman" w:hAnsi="Times New Roman"/>
      <w:sz w:val="18"/>
      <w:vertAlign w:val="superscript"/>
    </w:rPr>
  </w:style>
  <w:style w:type="paragraph" w:customStyle="1" w:styleId="HMG">
    <w:name w:val="_ H __M_G"/>
    <w:basedOn w:val="Normal"/>
    <w:next w:val="Normal"/>
    <w:qFormat/>
    <w:rsid w:val="008C2B1A"/>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8C2B1A"/>
    <w:pPr>
      <w:keepNext/>
      <w:keepLines/>
      <w:tabs>
        <w:tab w:val="right" w:pos="851"/>
      </w:tabs>
      <w:suppressAutoHyphens/>
      <w:spacing w:before="360" w:after="240" w:line="300" w:lineRule="exact"/>
      <w:ind w:left="1134" w:right="1134" w:hanging="1134"/>
    </w:pPr>
    <w:rPr>
      <w:b/>
      <w:sz w:val="28"/>
    </w:rPr>
  </w:style>
  <w:style w:type="paragraph" w:styleId="BalloonText">
    <w:name w:val="Balloon Text"/>
    <w:basedOn w:val="Normal"/>
    <w:link w:val="BalloonTextChar"/>
    <w:semiHidden/>
    <w:rsid w:val="00450C4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50C46"/>
    <w:rPr>
      <w:rFonts w:ascii="Tahoma" w:hAnsi="Tahoma" w:cs="Tahoma"/>
      <w:sz w:val="16"/>
      <w:szCs w:val="16"/>
      <w:lang w:val="es-ES" w:eastAsia="es-ES"/>
    </w:rPr>
  </w:style>
  <w:style w:type="paragraph" w:customStyle="1" w:styleId="H1G">
    <w:name w:val="_ H_1_G"/>
    <w:basedOn w:val="Normal"/>
    <w:next w:val="Normal"/>
    <w:link w:val="H1GChar"/>
    <w:qFormat/>
    <w:rsid w:val="008C2B1A"/>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8C2B1A"/>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8C2B1A"/>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8C2B1A"/>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qFormat/>
    <w:rsid w:val="001B5FFA"/>
    <w:pPr>
      <w:pBdr>
        <w:bottom w:val="single" w:sz="4" w:space="4" w:color="auto"/>
      </w:pBdr>
      <w:spacing w:line="240" w:lineRule="auto"/>
    </w:pPr>
    <w:rPr>
      <w:b/>
      <w:sz w:val="18"/>
    </w:rPr>
  </w:style>
  <w:style w:type="paragraph" w:customStyle="1" w:styleId="SingleTxtG">
    <w:name w:val="_ Single Txt_G"/>
    <w:basedOn w:val="Normal"/>
    <w:link w:val="SingleTxtGChar"/>
    <w:qFormat/>
    <w:rsid w:val="008C2B1A"/>
    <w:pPr>
      <w:spacing w:after="120"/>
      <w:ind w:left="1134" w:right="1134"/>
      <w:jc w:val="both"/>
    </w:pPr>
  </w:style>
  <w:style w:type="paragraph" w:customStyle="1" w:styleId="SMG">
    <w:name w:val="__S_M_G"/>
    <w:basedOn w:val="Normal"/>
    <w:next w:val="Normal"/>
    <w:rsid w:val="008C2B1A"/>
    <w:pPr>
      <w:keepNext/>
      <w:keepLines/>
      <w:suppressAutoHyphens/>
      <w:spacing w:before="240" w:after="240" w:line="420" w:lineRule="exact"/>
      <w:ind w:left="1134" w:right="1134"/>
    </w:pPr>
    <w:rPr>
      <w:b/>
      <w:sz w:val="40"/>
    </w:rPr>
  </w:style>
  <w:style w:type="paragraph" w:customStyle="1" w:styleId="SLG">
    <w:name w:val="__S_L_G"/>
    <w:basedOn w:val="Normal"/>
    <w:next w:val="Normal"/>
    <w:rsid w:val="008C2B1A"/>
    <w:pPr>
      <w:keepNext/>
      <w:keepLines/>
      <w:spacing w:before="240" w:after="240" w:line="580" w:lineRule="exact"/>
      <w:ind w:left="1134" w:right="1134"/>
    </w:pPr>
    <w:rPr>
      <w:b/>
      <w:sz w:val="56"/>
    </w:rPr>
  </w:style>
  <w:style w:type="paragraph" w:customStyle="1" w:styleId="SSG">
    <w:name w:val="__S_S_G"/>
    <w:basedOn w:val="Normal"/>
    <w:next w:val="Normal"/>
    <w:rsid w:val="008C2B1A"/>
    <w:pPr>
      <w:keepNext/>
      <w:keepLines/>
      <w:spacing w:before="240" w:after="240" w:line="300" w:lineRule="exact"/>
      <w:ind w:left="1134" w:right="1134"/>
    </w:pPr>
    <w:rPr>
      <w:b/>
      <w:sz w:val="28"/>
    </w:rPr>
  </w:style>
  <w:style w:type="paragraph" w:styleId="Footer">
    <w:name w:val="footer"/>
    <w:aliases w:val="3_G"/>
    <w:basedOn w:val="Normal"/>
    <w:next w:val="Normal"/>
    <w:qFormat/>
    <w:rsid w:val="008C2B1A"/>
    <w:rPr>
      <w:sz w:val="16"/>
    </w:rPr>
  </w:style>
  <w:style w:type="paragraph" w:customStyle="1" w:styleId="XLargeG">
    <w:name w:val="__XLarge_G"/>
    <w:basedOn w:val="Normal"/>
    <w:next w:val="Normal"/>
    <w:rsid w:val="008C2B1A"/>
    <w:pPr>
      <w:keepNext/>
      <w:keepLines/>
      <w:spacing w:before="240" w:after="240" w:line="420" w:lineRule="exact"/>
      <w:ind w:left="1134" w:right="1134"/>
    </w:pPr>
    <w:rPr>
      <w:b/>
      <w:sz w:val="40"/>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uiPriority w:val="99"/>
    <w:qFormat/>
    <w:rsid w:val="008C2B1A"/>
    <w:pPr>
      <w:tabs>
        <w:tab w:val="right" w:pos="1021"/>
      </w:tabs>
      <w:spacing w:line="220" w:lineRule="exact"/>
      <w:ind w:left="1134" w:right="1134" w:hanging="1134"/>
    </w:pPr>
    <w:rPr>
      <w:sz w:val="18"/>
    </w:rPr>
  </w:style>
  <w:style w:type="table" w:styleId="TableGrid">
    <w:name w:val="Table Grid"/>
    <w:basedOn w:val="TableNormal"/>
    <w:semiHidden/>
    <w:rsid w:val="008F2BC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8C2B1A"/>
    <w:pPr>
      <w:numPr>
        <w:numId w:val="3"/>
      </w:numPr>
    </w:pPr>
  </w:style>
  <w:style w:type="numbering" w:styleId="1ai">
    <w:name w:val="Outline List 1"/>
    <w:basedOn w:val="NoList"/>
    <w:semiHidden/>
    <w:rsid w:val="008C2B1A"/>
    <w:pPr>
      <w:numPr>
        <w:numId w:val="4"/>
      </w:numPr>
    </w:pPr>
  </w:style>
  <w:style w:type="character" w:styleId="HTMLAcronym">
    <w:name w:val="HTML Acronym"/>
    <w:basedOn w:val="DefaultParagraphFont"/>
    <w:semiHidden/>
    <w:rsid w:val="008C2B1A"/>
  </w:style>
  <w:style w:type="numbering" w:styleId="ArticleSection">
    <w:name w:val="Outline List 3"/>
    <w:basedOn w:val="NoList"/>
    <w:semiHidden/>
    <w:rsid w:val="008C2B1A"/>
    <w:pPr>
      <w:numPr>
        <w:numId w:val="5"/>
      </w:numPr>
    </w:pPr>
  </w:style>
  <w:style w:type="paragraph" w:styleId="Closing">
    <w:name w:val="Closing"/>
    <w:basedOn w:val="Normal"/>
    <w:semiHidden/>
    <w:rsid w:val="008C2B1A"/>
    <w:pPr>
      <w:ind w:left="4252"/>
    </w:pPr>
  </w:style>
  <w:style w:type="character" w:styleId="HTMLCite">
    <w:name w:val="HTML Cite"/>
    <w:basedOn w:val="DefaultParagraphFont"/>
    <w:semiHidden/>
    <w:rsid w:val="008C2B1A"/>
    <w:rPr>
      <w:i/>
      <w:iCs/>
    </w:rPr>
  </w:style>
  <w:style w:type="character" w:styleId="HTMLCode">
    <w:name w:val="HTML Code"/>
    <w:basedOn w:val="DefaultParagraphFont"/>
    <w:semiHidden/>
    <w:rsid w:val="008C2B1A"/>
    <w:rPr>
      <w:rFonts w:ascii="Courier New" w:hAnsi="Courier New" w:cs="Courier New"/>
      <w:sz w:val="20"/>
      <w:szCs w:val="20"/>
    </w:rPr>
  </w:style>
  <w:style w:type="paragraph" w:styleId="ListContinue">
    <w:name w:val="List Continue"/>
    <w:basedOn w:val="Normal"/>
    <w:semiHidden/>
    <w:rsid w:val="008C2B1A"/>
    <w:pPr>
      <w:spacing w:after="120"/>
      <w:ind w:left="283"/>
    </w:pPr>
  </w:style>
  <w:style w:type="paragraph" w:styleId="ListContinue2">
    <w:name w:val="List Continue 2"/>
    <w:basedOn w:val="Normal"/>
    <w:semiHidden/>
    <w:rsid w:val="008C2B1A"/>
    <w:pPr>
      <w:spacing w:after="120"/>
      <w:ind w:left="566"/>
    </w:pPr>
  </w:style>
  <w:style w:type="paragraph" w:styleId="ListContinue3">
    <w:name w:val="List Continue 3"/>
    <w:basedOn w:val="Normal"/>
    <w:semiHidden/>
    <w:rsid w:val="008C2B1A"/>
    <w:pPr>
      <w:spacing w:after="120"/>
      <w:ind w:left="849"/>
    </w:pPr>
  </w:style>
  <w:style w:type="paragraph" w:styleId="ListContinue4">
    <w:name w:val="List Continue 4"/>
    <w:basedOn w:val="Normal"/>
    <w:semiHidden/>
    <w:rsid w:val="008C2B1A"/>
    <w:pPr>
      <w:spacing w:after="120"/>
      <w:ind w:left="1132"/>
    </w:pPr>
  </w:style>
  <w:style w:type="paragraph" w:styleId="ListContinue5">
    <w:name w:val="List Continue 5"/>
    <w:basedOn w:val="Normal"/>
    <w:semiHidden/>
    <w:rsid w:val="008C2B1A"/>
    <w:pPr>
      <w:spacing w:after="120"/>
      <w:ind w:left="1415"/>
    </w:pPr>
  </w:style>
  <w:style w:type="character" w:styleId="HTMLDefinition">
    <w:name w:val="HTML Definition"/>
    <w:basedOn w:val="DefaultParagraphFont"/>
    <w:semiHidden/>
    <w:rsid w:val="008C2B1A"/>
    <w:rPr>
      <w:i/>
      <w:iCs/>
    </w:rPr>
  </w:style>
  <w:style w:type="paragraph" w:styleId="HTMLAddress">
    <w:name w:val="HTML Address"/>
    <w:basedOn w:val="Normal"/>
    <w:semiHidden/>
    <w:rsid w:val="008C2B1A"/>
    <w:rPr>
      <w:i/>
      <w:iCs/>
    </w:rPr>
  </w:style>
  <w:style w:type="paragraph" w:styleId="EnvelopeAddress">
    <w:name w:val="envelope address"/>
    <w:basedOn w:val="Normal"/>
    <w:semiHidden/>
    <w:rsid w:val="008C2B1A"/>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8C2B1A"/>
    <w:rPr>
      <w:rFonts w:ascii="Courier New" w:hAnsi="Courier New" w:cs="Courier New"/>
    </w:rPr>
  </w:style>
  <w:style w:type="paragraph" w:styleId="MessageHeader">
    <w:name w:val="Message Header"/>
    <w:basedOn w:val="Normal"/>
    <w:semiHidden/>
    <w:rsid w:val="008C2B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8C2B1A"/>
  </w:style>
  <w:style w:type="character" w:styleId="Emphasis">
    <w:name w:val="Emphasis"/>
    <w:basedOn w:val="DefaultParagraphFont"/>
    <w:semiHidden/>
    <w:qFormat/>
    <w:rsid w:val="008C2B1A"/>
    <w:rPr>
      <w:i/>
      <w:iCs/>
    </w:rPr>
  </w:style>
  <w:style w:type="paragraph" w:styleId="Date">
    <w:name w:val="Date"/>
    <w:basedOn w:val="Normal"/>
    <w:next w:val="Normal"/>
    <w:semiHidden/>
    <w:rsid w:val="008C2B1A"/>
  </w:style>
  <w:style w:type="paragraph" w:styleId="Signature">
    <w:name w:val="Signature"/>
    <w:basedOn w:val="Normal"/>
    <w:semiHidden/>
    <w:rsid w:val="008C2B1A"/>
    <w:pPr>
      <w:ind w:left="4252"/>
    </w:pPr>
  </w:style>
  <w:style w:type="paragraph" w:styleId="EmailSignature">
    <w:name w:val="E-mail Signature"/>
    <w:basedOn w:val="Normal"/>
    <w:semiHidden/>
    <w:rsid w:val="008C2B1A"/>
  </w:style>
  <w:style w:type="character" w:styleId="Hyperlink">
    <w:name w:val="Hyperlink"/>
    <w:basedOn w:val="DefaultParagraphFont"/>
    <w:semiHidden/>
    <w:rsid w:val="008C2B1A"/>
    <w:rPr>
      <w:color w:val="0000FF"/>
      <w:u w:val="single"/>
    </w:rPr>
  </w:style>
  <w:style w:type="character" w:styleId="FollowedHyperlink">
    <w:name w:val="FollowedHyperlink"/>
    <w:basedOn w:val="DefaultParagraphFont"/>
    <w:semiHidden/>
    <w:rsid w:val="008C2B1A"/>
    <w:rPr>
      <w:color w:val="800080"/>
      <w:u w:val="single"/>
    </w:rPr>
  </w:style>
  <w:style w:type="paragraph" w:styleId="HTMLPreformatted">
    <w:name w:val="HTML Preformatted"/>
    <w:basedOn w:val="Normal"/>
    <w:semiHidden/>
    <w:rsid w:val="008C2B1A"/>
    <w:rPr>
      <w:rFonts w:ascii="Courier New" w:hAnsi="Courier New" w:cs="Courier New"/>
    </w:rPr>
  </w:style>
  <w:style w:type="paragraph" w:styleId="List">
    <w:name w:val="List"/>
    <w:basedOn w:val="Normal"/>
    <w:semiHidden/>
    <w:rsid w:val="008C2B1A"/>
    <w:pPr>
      <w:ind w:left="283" w:hanging="283"/>
    </w:pPr>
  </w:style>
  <w:style w:type="paragraph" w:styleId="List2">
    <w:name w:val="List 2"/>
    <w:basedOn w:val="Normal"/>
    <w:semiHidden/>
    <w:rsid w:val="008C2B1A"/>
    <w:pPr>
      <w:ind w:left="566" w:hanging="283"/>
    </w:pPr>
  </w:style>
  <w:style w:type="paragraph" w:styleId="List3">
    <w:name w:val="List 3"/>
    <w:basedOn w:val="Normal"/>
    <w:semiHidden/>
    <w:rsid w:val="008C2B1A"/>
    <w:pPr>
      <w:ind w:left="849" w:hanging="283"/>
    </w:pPr>
  </w:style>
  <w:style w:type="paragraph" w:styleId="List4">
    <w:name w:val="List 4"/>
    <w:basedOn w:val="Normal"/>
    <w:semiHidden/>
    <w:rsid w:val="008C2B1A"/>
    <w:pPr>
      <w:ind w:left="1132" w:hanging="283"/>
    </w:pPr>
  </w:style>
  <w:style w:type="paragraph" w:styleId="List5">
    <w:name w:val="List 5"/>
    <w:basedOn w:val="Normal"/>
    <w:semiHidden/>
    <w:rsid w:val="008C2B1A"/>
    <w:pPr>
      <w:ind w:left="1415" w:hanging="283"/>
    </w:pPr>
  </w:style>
  <w:style w:type="paragraph" w:styleId="ListNumber">
    <w:name w:val="List Number"/>
    <w:basedOn w:val="Normal"/>
    <w:semiHidden/>
    <w:rsid w:val="008C2B1A"/>
    <w:pPr>
      <w:numPr>
        <w:numId w:val="6"/>
      </w:numPr>
    </w:pPr>
  </w:style>
  <w:style w:type="paragraph" w:styleId="ListNumber2">
    <w:name w:val="List Number 2"/>
    <w:basedOn w:val="Normal"/>
    <w:semiHidden/>
    <w:rsid w:val="008C2B1A"/>
    <w:pPr>
      <w:numPr>
        <w:numId w:val="7"/>
      </w:numPr>
    </w:pPr>
  </w:style>
  <w:style w:type="paragraph" w:styleId="ListNumber3">
    <w:name w:val="List Number 3"/>
    <w:basedOn w:val="Normal"/>
    <w:semiHidden/>
    <w:rsid w:val="008C2B1A"/>
    <w:pPr>
      <w:numPr>
        <w:numId w:val="8"/>
      </w:numPr>
    </w:pPr>
  </w:style>
  <w:style w:type="paragraph" w:styleId="ListNumber4">
    <w:name w:val="List Number 4"/>
    <w:basedOn w:val="Normal"/>
    <w:semiHidden/>
    <w:rsid w:val="008C2B1A"/>
    <w:pPr>
      <w:numPr>
        <w:numId w:val="9"/>
      </w:numPr>
    </w:pPr>
  </w:style>
  <w:style w:type="paragraph" w:styleId="ListNumber5">
    <w:name w:val="List Number 5"/>
    <w:basedOn w:val="Normal"/>
    <w:semiHidden/>
    <w:rsid w:val="008C2B1A"/>
    <w:pPr>
      <w:numPr>
        <w:numId w:val="10"/>
      </w:numPr>
    </w:pPr>
  </w:style>
  <w:style w:type="paragraph" w:styleId="ListBullet">
    <w:name w:val="List Bullet"/>
    <w:basedOn w:val="Normal"/>
    <w:semiHidden/>
    <w:rsid w:val="008C2B1A"/>
    <w:pPr>
      <w:numPr>
        <w:numId w:val="11"/>
      </w:numPr>
    </w:pPr>
  </w:style>
  <w:style w:type="paragraph" w:styleId="ListBullet2">
    <w:name w:val="List Bullet 2"/>
    <w:basedOn w:val="Normal"/>
    <w:semiHidden/>
    <w:rsid w:val="008C2B1A"/>
    <w:pPr>
      <w:numPr>
        <w:numId w:val="12"/>
      </w:numPr>
    </w:pPr>
  </w:style>
  <w:style w:type="paragraph" w:styleId="ListBullet3">
    <w:name w:val="List Bullet 3"/>
    <w:basedOn w:val="Normal"/>
    <w:semiHidden/>
    <w:rsid w:val="008C2B1A"/>
    <w:pPr>
      <w:numPr>
        <w:numId w:val="13"/>
      </w:numPr>
    </w:pPr>
  </w:style>
  <w:style w:type="paragraph" w:styleId="ListBullet4">
    <w:name w:val="List Bullet 4"/>
    <w:basedOn w:val="Normal"/>
    <w:semiHidden/>
    <w:rsid w:val="008C2B1A"/>
    <w:pPr>
      <w:numPr>
        <w:numId w:val="14"/>
      </w:numPr>
    </w:pPr>
  </w:style>
  <w:style w:type="paragraph" w:styleId="ListBullet5">
    <w:name w:val="List Bullet 5"/>
    <w:basedOn w:val="Normal"/>
    <w:semiHidden/>
    <w:rsid w:val="008C2B1A"/>
    <w:pPr>
      <w:numPr>
        <w:numId w:val="15"/>
      </w:numPr>
    </w:pPr>
  </w:style>
  <w:style w:type="character" w:styleId="HTMLTypewriter">
    <w:name w:val="HTML Typewriter"/>
    <w:basedOn w:val="DefaultParagraphFont"/>
    <w:semiHidden/>
    <w:rsid w:val="008C2B1A"/>
    <w:rPr>
      <w:rFonts w:ascii="Courier New" w:hAnsi="Courier New" w:cs="Courier New"/>
      <w:sz w:val="20"/>
      <w:szCs w:val="20"/>
    </w:rPr>
  </w:style>
  <w:style w:type="paragraph" w:styleId="NormalWeb">
    <w:name w:val="Normal (Web)"/>
    <w:basedOn w:val="Normal"/>
    <w:semiHidden/>
    <w:rsid w:val="008C2B1A"/>
    <w:rPr>
      <w:sz w:val="24"/>
      <w:szCs w:val="24"/>
    </w:rPr>
  </w:style>
  <w:style w:type="character" w:styleId="LineNumber">
    <w:name w:val="line number"/>
    <w:basedOn w:val="DefaultParagraphFont"/>
    <w:semiHidden/>
    <w:rsid w:val="008C2B1A"/>
  </w:style>
  <w:style w:type="character" w:styleId="PageNumber">
    <w:name w:val="page number"/>
    <w:aliases w:val="7_G"/>
    <w:basedOn w:val="DefaultParagraphFont"/>
    <w:qFormat/>
    <w:rsid w:val="008C2B1A"/>
    <w:rPr>
      <w:b/>
      <w:sz w:val="18"/>
    </w:rPr>
  </w:style>
  <w:style w:type="character" w:styleId="EndnoteReference">
    <w:name w:val="endnote reference"/>
    <w:aliases w:val="1_G"/>
    <w:basedOn w:val="FootnoteReference"/>
    <w:qFormat/>
    <w:rsid w:val="008C2B1A"/>
    <w:rPr>
      <w:rFonts w:ascii="Times New Roman" w:hAnsi="Times New Roman"/>
      <w:sz w:val="18"/>
      <w:vertAlign w:val="superscript"/>
    </w:rPr>
  </w:style>
  <w:style w:type="paragraph" w:styleId="EnvelopeReturn">
    <w:name w:val="envelope return"/>
    <w:basedOn w:val="Normal"/>
    <w:semiHidden/>
    <w:rsid w:val="008C2B1A"/>
    <w:rPr>
      <w:rFonts w:ascii="Arial" w:hAnsi="Arial" w:cs="Arial"/>
    </w:rPr>
  </w:style>
  <w:style w:type="paragraph" w:styleId="Salutation">
    <w:name w:val="Salutation"/>
    <w:basedOn w:val="Normal"/>
    <w:next w:val="Normal"/>
    <w:semiHidden/>
    <w:rsid w:val="008C2B1A"/>
  </w:style>
  <w:style w:type="paragraph" w:styleId="BodyTextIndent2">
    <w:name w:val="Body Text Indent 2"/>
    <w:basedOn w:val="Normal"/>
    <w:semiHidden/>
    <w:rsid w:val="008C2B1A"/>
    <w:pPr>
      <w:spacing w:after="120" w:line="480" w:lineRule="auto"/>
      <w:ind w:left="283"/>
    </w:pPr>
  </w:style>
  <w:style w:type="paragraph" w:styleId="BodyTextIndent3">
    <w:name w:val="Body Text Indent 3"/>
    <w:basedOn w:val="Normal"/>
    <w:semiHidden/>
    <w:rsid w:val="008C2B1A"/>
    <w:pPr>
      <w:spacing w:after="120"/>
      <w:ind w:left="283"/>
    </w:pPr>
    <w:rPr>
      <w:sz w:val="16"/>
      <w:szCs w:val="16"/>
    </w:rPr>
  </w:style>
  <w:style w:type="paragraph" w:styleId="BodyTextIndent">
    <w:name w:val="Body Text Indent"/>
    <w:basedOn w:val="Normal"/>
    <w:semiHidden/>
    <w:rsid w:val="008C2B1A"/>
    <w:pPr>
      <w:spacing w:after="120"/>
      <w:ind w:left="283"/>
    </w:pPr>
  </w:style>
  <w:style w:type="paragraph" w:styleId="NormalIndent">
    <w:name w:val="Normal Indent"/>
    <w:basedOn w:val="Normal"/>
    <w:semiHidden/>
    <w:rsid w:val="008C2B1A"/>
    <w:pPr>
      <w:ind w:left="567"/>
    </w:pPr>
  </w:style>
  <w:style w:type="paragraph" w:styleId="Subtitle">
    <w:name w:val="Subtitle"/>
    <w:basedOn w:val="Normal"/>
    <w:semiHidden/>
    <w:qFormat/>
    <w:rsid w:val="008C2B1A"/>
    <w:pPr>
      <w:spacing w:after="60"/>
      <w:jc w:val="center"/>
      <w:outlineLvl w:val="1"/>
    </w:pPr>
    <w:rPr>
      <w:rFonts w:ascii="Arial" w:hAnsi="Arial" w:cs="Arial"/>
      <w:sz w:val="24"/>
      <w:szCs w:val="24"/>
    </w:rPr>
  </w:style>
  <w:style w:type="table" w:styleId="TableSimple1">
    <w:name w:val="Table Simple 1"/>
    <w:basedOn w:val="TableNormal"/>
    <w:semiHidden/>
    <w:rsid w:val="008C2B1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C2B1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C2B1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C2B1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C2B1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8C2B1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C2B1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C2B1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C2B1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C2B1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C2B1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C2B1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C2B1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C2B1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C2B1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8C2B1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C2B1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C2B1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8C2B1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C2B1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C2B1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C2B1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C2B1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C2B1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8C2B1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8C2B1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8C2B1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8C2B1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C2B1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C2B1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urful1">
    <w:name w:val="Table Colorful 1"/>
    <w:basedOn w:val="TableNormal"/>
    <w:semiHidden/>
    <w:rsid w:val="008C2B1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8C2B1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8C2B1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8C2B1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C2B1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C2B1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8C2B1A"/>
    <w:rPr>
      <w:rFonts w:ascii="Courier New" w:hAnsi="Courier New" w:cs="Courier New"/>
      <w:sz w:val="20"/>
      <w:szCs w:val="20"/>
    </w:rPr>
  </w:style>
  <w:style w:type="paragraph" w:styleId="BlockText">
    <w:name w:val="Block Text"/>
    <w:basedOn w:val="Normal"/>
    <w:semiHidden/>
    <w:rsid w:val="008C2B1A"/>
    <w:pPr>
      <w:spacing w:after="120"/>
      <w:ind w:left="1440" w:right="1440"/>
    </w:pPr>
  </w:style>
  <w:style w:type="character" w:styleId="Strong">
    <w:name w:val="Strong"/>
    <w:basedOn w:val="DefaultParagraphFont"/>
    <w:semiHidden/>
    <w:qFormat/>
    <w:rsid w:val="008C2B1A"/>
    <w:rPr>
      <w:b/>
      <w:bCs/>
    </w:rPr>
  </w:style>
  <w:style w:type="paragraph" w:styleId="BodyText">
    <w:name w:val="Body Text"/>
    <w:basedOn w:val="Normal"/>
    <w:semiHidden/>
    <w:rsid w:val="008C2B1A"/>
    <w:pPr>
      <w:spacing w:after="120"/>
    </w:pPr>
  </w:style>
  <w:style w:type="paragraph" w:styleId="BodyText2">
    <w:name w:val="Body Text 2"/>
    <w:basedOn w:val="Normal"/>
    <w:semiHidden/>
    <w:rsid w:val="008C2B1A"/>
    <w:pPr>
      <w:spacing w:after="120" w:line="480" w:lineRule="auto"/>
    </w:pPr>
  </w:style>
  <w:style w:type="paragraph" w:styleId="BodyText3">
    <w:name w:val="Body Text 3"/>
    <w:basedOn w:val="Normal"/>
    <w:semiHidden/>
    <w:rsid w:val="008C2B1A"/>
    <w:pPr>
      <w:spacing w:after="120"/>
    </w:pPr>
    <w:rPr>
      <w:sz w:val="16"/>
      <w:szCs w:val="16"/>
    </w:rPr>
  </w:style>
  <w:style w:type="paragraph" w:styleId="BodyTextFirstIndent">
    <w:name w:val="Body Text First Indent"/>
    <w:basedOn w:val="BodyText"/>
    <w:semiHidden/>
    <w:rsid w:val="008C2B1A"/>
    <w:pPr>
      <w:ind w:firstLine="210"/>
    </w:pPr>
  </w:style>
  <w:style w:type="paragraph" w:styleId="BodyTextFirstIndent2">
    <w:name w:val="Body Text First Indent 2"/>
    <w:basedOn w:val="BodyTextIndent"/>
    <w:semiHidden/>
    <w:rsid w:val="008C2B1A"/>
    <w:pPr>
      <w:ind w:firstLine="210"/>
    </w:pPr>
  </w:style>
  <w:style w:type="paragraph" w:styleId="EndnoteText">
    <w:name w:val="endnote text"/>
    <w:aliases w:val="2_G"/>
    <w:basedOn w:val="FootnoteText"/>
    <w:qFormat/>
    <w:rsid w:val="008C2B1A"/>
  </w:style>
  <w:style w:type="paragraph" w:styleId="PlainText">
    <w:name w:val="Plain Text"/>
    <w:basedOn w:val="Normal"/>
    <w:semiHidden/>
    <w:rsid w:val="008C2B1A"/>
    <w:rPr>
      <w:rFonts w:ascii="Courier New" w:hAnsi="Courier New" w:cs="Courier New"/>
    </w:rPr>
  </w:style>
  <w:style w:type="paragraph" w:styleId="Title">
    <w:name w:val="Title"/>
    <w:basedOn w:val="Normal"/>
    <w:semiHidden/>
    <w:qFormat/>
    <w:rsid w:val="008C2B1A"/>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8C2B1A"/>
    <w:rPr>
      <w:i/>
      <w:iCs/>
    </w:rPr>
  </w:style>
  <w:style w:type="paragraph" w:customStyle="1" w:styleId="Bullet1G">
    <w:name w:val="_Bullet 1_G"/>
    <w:basedOn w:val="Normal"/>
    <w:qFormat/>
    <w:rsid w:val="008C2B1A"/>
    <w:pPr>
      <w:numPr>
        <w:numId w:val="1"/>
      </w:numPr>
      <w:spacing w:after="120"/>
      <w:ind w:right="1134"/>
      <w:jc w:val="both"/>
    </w:pPr>
    <w:rPr>
      <w:lang w:eastAsia="en-US"/>
    </w:rPr>
  </w:style>
  <w:style w:type="paragraph" w:customStyle="1" w:styleId="Bullet2G">
    <w:name w:val="_Bullet 2_G"/>
    <w:basedOn w:val="Normal"/>
    <w:qFormat/>
    <w:rsid w:val="008C2B1A"/>
    <w:pPr>
      <w:numPr>
        <w:numId w:val="2"/>
      </w:numPr>
      <w:spacing w:after="120"/>
      <w:ind w:right="1134"/>
      <w:jc w:val="both"/>
    </w:pPr>
  </w:style>
  <w:style w:type="paragraph" w:customStyle="1" w:styleId="ParNoG">
    <w:name w:val="_ParNo_G"/>
    <w:basedOn w:val="SingleTxtG"/>
    <w:qFormat/>
    <w:rsid w:val="001220F5"/>
    <w:pPr>
      <w:numPr>
        <w:numId w:val="16"/>
      </w:numPr>
      <w:suppressAutoHyphens/>
      <w:kinsoku w:val="0"/>
      <w:overflowPunct w:val="0"/>
      <w:autoSpaceDE w:val="0"/>
      <w:autoSpaceDN w:val="0"/>
      <w:adjustRightInd w:val="0"/>
      <w:snapToGrid w:val="0"/>
    </w:pPr>
    <w:rPr>
      <w:lang w:eastAsia="en-US"/>
    </w:rPr>
  </w:style>
  <w:style w:type="character" w:customStyle="1" w:styleId="SingleTxtGChar">
    <w:name w:val="_ Single Txt_G Char"/>
    <w:link w:val="SingleTxtG"/>
    <w:locked/>
    <w:rsid w:val="009A7BD1"/>
    <w:rPr>
      <w:lang w:val="es-ES" w:eastAsia="es-ES"/>
    </w:rPr>
  </w:style>
  <w:style w:type="character" w:customStyle="1" w:styleId="H1GChar">
    <w:name w:val="_ H_1_G Char"/>
    <w:link w:val="H1G"/>
    <w:rsid w:val="009A7BD1"/>
    <w:rPr>
      <w:b/>
      <w:sz w:val="24"/>
      <w:lang w:val="es-ES" w:eastAsia="es-E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link w:val="FootnoteText"/>
    <w:uiPriority w:val="99"/>
    <w:locked/>
    <w:rsid w:val="00CE0E6E"/>
    <w:rPr>
      <w:sz w:val="18"/>
      <w:lang w:val="es-ES" w:eastAsia="es-ES"/>
    </w:rPr>
  </w:style>
  <w:style w:type="character" w:styleId="CommentReference">
    <w:name w:val="annotation reference"/>
    <w:basedOn w:val="DefaultParagraphFont"/>
    <w:semiHidden/>
    <w:unhideWhenUsed/>
    <w:rsid w:val="00F14995"/>
    <w:rPr>
      <w:sz w:val="16"/>
      <w:szCs w:val="16"/>
    </w:rPr>
  </w:style>
  <w:style w:type="paragraph" w:styleId="CommentText">
    <w:name w:val="annotation text"/>
    <w:basedOn w:val="Normal"/>
    <w:link w:val="CommentTextChar"/>
    <w:unhideWhenUsed/>
    <w:rsid w:val="00F14995"/>
    <w:pPr>
      <w:spacing w:line="240" w:lineRule="auto"/>
    </w:pPr>
  </w:style>
  <w:style w:type="character" w:customStyle="1" w:styleId="CommentTextChar">
    <w:name w:val="Comment Text Char"/>
    <w:basedOn w:val="DefaultParagraphFont"/>
    <w:link w:val="CommentText"/>
    <w:rsid w:val="00F14995"/>
    <w:rPr>
      <w:lang w:val="es-ES" w:eastAsia="es-ES"/>
    </w:rPr>
  </w:style>
  <w:style w:type="paragraph" w:styleId="CommentSubject">
    <w:name w:val="annotation subject"/>
    <w:basedOn w:val="CommentText"/>
    <w:next w:val="CommentText"/>
    <w:link w:val="CommentSubjectChar"/>
    <w:semiHidden/>
    <w:unhideWhenUsed/>
    <w:rsid w:val="00F14995"/>
    <w:rPr>
      <w:b/>
      <w:bCs/>
    </w:rPr>
  </w:style>
  <w:style w:type="character" w:customStyle="1" w:styleId="CommentSubjectChar">
    <w:name w:val="Comment Subject Char"/>
    <w:basedOn w:val="CommentTextChar"/>
    <w:link w:val="CommentSubject"/>
    <w:semiHidden/>
    <w:rsid w:val="00F14995"/>
    <w:rPr>
      <w:b/>
      <w:bCs/>
      <w:lang w:val="es-ES" w:eastAsia="es-ES"/>
    </w:rPr>
  </w:style>
  <w:style w:type="paragraph" w:styleId="Revision">
    <w:name w:val="Revision"/>
    <w:hidden/>
    <w:uiPriority w:val="99"/>
    <w:semiHidden/>
    <w:rsid w:val="00BC36A6"/>
    <w:rPr>
      <w:lang w:val="es-ES" w:eastAsia="es-ES"/>
    </w:rPr>
  </w:style>
  <w:style w:type="character" w:customStyle="1" w:styleId="sessionsubtitle">
    <w:name w:val="sessionsubtitle"/>
    <w:basedOn w:val="DefaultParagraphFont"/>
    <w:rsid w:val="00B63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6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A1D8C-892C-E847-8CCF-785FFB85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C:\UN-Docs2017\Templates\CRC\CRC_S.dotm</Template>
  <TotalTime>0</TotalTime>
  <Pages>12</Pages>
  <Words>6527</Words>
  <Characters>37209</Characters>
  <Application>Microsoft Office Word</Application>
  <DocSecurity>0</DocSecurity>
  <Lines>310</Lines>
  <Paragraphs>87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CRC/C/81/DR/16/2017</vt:lpstr>
      <vt:lpstr>CRC/C/81/DR/16/2017</vt:lpstr>
      <vt:lpstr>CRC/C/81/DR/16/2017</vt:lpstr>
    </vt:vector>
  </TitlesOfParts>
  <Company>DCM</Company>
  <LinksUpToDate>false</LinksUpToDate>
  <CharactersWithSpaces>43649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CRC/C/81/DR/16/2017</dc:title>
  <dc:subject/>
  <dc:creator>Maria Luisa Zeballos Moreno</dc:creator>
  <cp:keywords/>
  <dc:description/>
  <cp:lastModifiedBy>nicolas espejo</cp:lastModifiedBy>
  <cp:revision>2</cp:revision>
  <cp:lastPrinted>2020-03-13T13:18:00Z</cp:lastPrinted>
  <dcterms:created xsi:type="dcterms:W3CDTF">2020-04-14T19:32:00Z</dcterms:created>
  <dcterms:modified xsi:type="dcterms:W3CDTF">2020-04-14T19:32:00Z</dcterms:modified>
</cp:coreProperties>
</file>